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5" w:rsidRPr="00FA4D58" w:rsidRDefault="00E14A15" w:rsidP="00E14A15">
      <w:pPr>
        <w:jc w:val="center"/>
        <w:rPr>
          <w:rFonts w:ascii="Times New Roman" w:hAnsi="Times New Roman" w:cs="Times New Roman"/>
          <w:b/>
        </w:rPr>
      </w:pPr>
      <w:r w:rsidRPr="00FA4D58">
        <w:rPr>
          <w:rFonts w:ascii="Times New Roman" w:hAnsi="Times New Roman" w:cs="Times New Roman"/>
          <w:b/>
        </w:rPr>
        <w:t xml:space="preserve">Le mentalisme et la </w:t>
      </w:r>
      <w:r w:rsidR="00281001">
        <w:rPr>
          <w:rFonts w:ascii="Times New Roman" w:hAnsi="Times New Roman" w:cs="Times New Roman"/>
          <w:b/>
        </w:rPr>
        <w:t xml:space="preserve">thèse de la </w:t>
      </w:r>
      <w:r w:rsidRPr="00FA4D58">
        <w:rPr>
          <w:rFonts w:ascii="Times New Roman" w:hAnsi="Times New Roman" w:cs="Times New Roman"/>
          <w:b/>
        </w:rPr>
        <w:t xml:space="preserve">nature </w:t>
      </w:r>
      <w:r w:rsidR="00281001">
        <w:rPr>
          <w:rFonts w:ascii="Times New Roman" w:hAnsi="Times New Roman" w:cs="Times New Roman"/>
          <w:b/>
        </w:rPr>
        <w:t xml:space="preserve">externe, </w:t>
      </w:r>
      <w:r w:rsidRPr="00FA4D58">
        <w:rPr>
          <w:rFonts w:ascii="Times New Roman" w:hAnsi="Times New Roman" w:cs="Times New Roman"/>
          <w:b/>
        </w:rPr>
        <w:t>historique et sociale de l’esprit</w:t>
      </w:r>
    </w:p>
    <w:p w:rsidR="00E14A15" w:rsidRPr="00FA4D58" w:rsidRDefault="00E14A15" w:rsidP="00E14A15">
      <w:pPr>
        <w:rPr>
          <w:rFonts w:ascii="Times New Roman" w:hAnsi="Times New Roman" w:cs="Times New Roman"/>
          <w:b/>
          <w:sz w:val="22"/>
          <w:szCs w:val="22"/>
        </w:rPr>
      </w:pPr>
      <w:r w:rsidRPr="00FA4D58">
        <w:rPr>
          <w:rFonts w:ascii="Times New Roman" w:hAnsi="Times New Roman" w:cs="Times New Roman"/>
          <w:b/>
          <w:sz w:val="22"/>
          <w:szCs w:val="22"/>
        </w:rPr>
        <w:t>Le mentalisme moderne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FA4D58">
        <w:rPr>
          <w:rFonts w:ascii="Times New Roman" w:hAnsi="Times New Roman" w:cs="Times New Roman"/>
          <w:sz w:val="22"/>
          <w:szCs w:val="22"/>
        </w:rPr>
        <w:t>Descombes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 xml:space="preserve"> (98-99 et 105-109) : charte de la philosophie mentale/cognitive (d’après </w:t>
      </w:r>
      <w:proofErr w:type="spellStart"/>
      <w:r w:rsidRPr="00FA4D58">
        <w:rPr>
          <w:rFonts w:ascii="Times New Roman" w:hAnsi="Times New Roman" w:cs="Times New Roman"/>
          <w:sz w:val="22"/>
          <w:szCs w:val="22"/>
        </w:rPr>
        <w:t>Fodor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4D58">
        <w:rPr>
          <w:rFonts w:ascii="Times New Roman" w:hAnsi="Times New Roman" w:cs="Times New Roman"/>
          <w:i/>
          <w:sz w:val="22"/>
          <w:szCs w:val="22"/>
        </w:rPr>
        <w:t>Psychosemantics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>)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1) « Il y a des croyances, des désirs et des contenus  de ces attitudes » [NB : on infère de ‘X croit (désire) que p’, ‘il y a une croyance (un désir) que X a’ et qui a pour objet (intentionnel) p (modèle du </w:t>
      </w:r>
      <w:r w:rsidRPr="00FA4D58">
        <w:rPr>
          <w:rFonts w:ascii="Times New Roman" w:hAnsi="Times New Roman" w:cs="Times New Roman"/>
          <w:i/>
          <w:sz w:val="22"/>
          <w:szCs w:val="22"/>
        </w:rPr>
        <w:t>credo</w:t>
      </w:r>
      <w:r w:rsidRPr="00FA4D58">
        <w:rPr>
          <w:rFonts w:ascii="Times New Roman" w:hAnsi="Times New Roman" w:cs="Times New Roman"/>
          <w:sz w:val="22"/>
          <w:szCs w:val="22"/>
        </w:rPr>
        <w:t xml:space="preserve"> et de ses articles)]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2) Rien n’interdit de penser (et tout porte à croire) que ces états mentaux sont matériels (états du cerveau) [</w:t>
      </w:r>
      <w:r w:rsidR="000172AD" w:rsidRPr="00FA4D58">
        <w:rPr>
          <w:rFonts w:ascii="Times New Roman" w:hAnsi="Times New Roman" w:cs="Times New Roman"/>
          <w:sz w:val="22"/>
          <w:szCs w:val="22"/>
        </w:rPr>
        <w:t xml:space="preserve">NB : </w:t>
      </w:r>
      <w:r w:rsidRPr="00FA4D58">
        <w:rPr>
          <w:rFonts w:ascii="Times New Roman" w:hAnsi="Times New Roman" w:cs="Times New Roman"/>
          <w:sz w:val="22"/>
          <w:szCs w:val="22"/>
        </w:rPr>
        <w:t xml:space="preserve">un </w:t>
      </w:r>
      <w:r w:rsidRPr="00FA4D58">
        <w:rPr>
          <w:rFonts w:ascii="Times New Roman" w:hAnsi="Times New Roman" w:cs="Times New Roman"/>
          <w:i/>
          <w:sz w:val="22"/>
          <w:szCs w:val="22"/>
        </w:rPr>
        <w:t>état</w:t>
      </w:r>
      <w:r w:rsidRPr="00FA4D58">
        <w:rPr>
          <w:rFonts w:ascii="Times New Roman" w:hAnsi="Times New Roman" w:cs="Times New Roman"/>
          <w:sz w:val="22"/>
          <w:szCs w:val="22"/>
        </w:rPr>
        <w:t xml:space="preserve"> mental (représentation d’un contenu) </w:t>
      </w:r>
      <w:r w:rsidRPr="00FA4D58">
        <w:rPr>
          <w:rFonts w:ascii="Times New Roman" w:hAnsi="Times New Roman" w:cs="Times New Roman"/>
          <w:i/>
          <w:sz w:val="22"/>
          <w:szCs w:val="22"/>
        </w:rPr>
        <w:t>pourrait</w:t>
      </w:r>
      <w:r w:rsidRPr="00FA4D58">
        <w:rPr>
          <w:rFonts w:ascii="Times New Roman" w:hAnsi="Times New Roman" w:cs="Times New Roman"/>
          <w:sz w:val="22"/>
          <w:szCs w:val="22"/>
        </w:rPr>
        <w:t xml:space="preserve"> n’être qu’un </w:t>
      </w:r>
      <w:r w:rsidRPr="00FA4D58">
        <w:rPr>
          <w:rFonts w:ascii="Times New Roman" w:hAnsi="Times New Roman" w:cs="Times New Roman"/>
          <w:i/>
          <w:sz w:val="22"/>
          <w:szCs w:val="22"/>
        </w:rPr>
        <w:t>état</w:t>
      </w:r>
      <w:r w:rsidRPr="00FA4D58">
        <w:rPr>
          <w:rFonts w:ascii="Times New Roman" w:hAnsi="Times New Roman" w:cs="Times New Roman"/>
          <w:sz w:val="22"/>
          <w:szCs w:val="22"/>
        </w:rPr>
        <w:t xml:space="preserve"> du cerveau (identité des </w:t>
      </w:r>
      <w:proofErr w:type="spellStart"/>
      <w:r w:rsidRPr="00FA4D58">
        <w:rPr>
          <w:rFonts w:ascii="Times New Roman" w:hAnsi="Times New Roman" w:cs="Times New Roman"/>
          <w:sz w:val="22"/>
          <w:szCs w:val="22"/>
        </w:rPr>
        <w:t>tokens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 xml:space="preserve">), qui devrait contenir le </w:t>
      </w:r>
      <w:r w:rsidRPr="00FA4D58">
        <w:rPr>
          <w:rFonts w:ascii="Times New Roman" w:hAnsi="Times New Roman" w:cs="Times New Roman"/>
          <w:i/>
          <w:sz w:val="22"/>
          <w:szCs w:val="22"/>
        </w:rPr>
        <w:t>symbole</w:t>
      </w:r>
      <w:r w:rsidRPr="00FA4D58">
        <w:rPr>
          <w:rFonts w:ascii="Times New Roman" w:hAnsi="Times New Roman" w:cs="Times New Roman"/>
          <w:sz w:val="22"/>
          <w:szCs w:val="22"/>
        </w:rPr>
        <w:t xml:space="preserve"> (matériel) du contenu (idée du langage mental réalisé physiquement dans le cerveau), </w:t>
      </w:r>
      <w:r w:rsidRPr="00FA4D58">
        <w:rPr>
          <w:rFonts w:ascii="Times New Roman" w:hAnsi="Times New Roman" w:cs="Times New Roman"/>
          <w:i/>
          <w:sz w:val="22"/>
          <w:szCs w:val="22"/>
        </w:rPr>
        <w:t>survenant</w:t>
      </w:r>
      <w:r w:rsidRPr="00FA4D58">
        <w:rPr>
          <w:rFonts w:ascii="Times New Roman" w:hAnsi="Times New Roman" w:cs="Times New Roman"/>
          <w:sz w:val="22"/>
          <w:szCs w:val="22"/>
        </w:rPr>
        <w:t xml:space="preserve"> sur </w:t>
      </w:r>
      <w:r w:rsidR="000172AD" w:rsidRPr="00FA4D58">
        <w:rPr>
          <w:rFonts w:ascii="Times New Roman" w:hAnsi="Times New Roman" w:cs="Times New Roman"/>
          <w:sz w:val="22"/>
          <w:szCs w:val="22"/>
        </w:rPr>
        <w:t>l’état physique]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3) « Les croyances et les désirs ont un rôle causal, le comportement est l’effet d’interactions complex</w:t>
      </w:r>
      <w:r w:rsidR="000172AD" w:rsidRPr="00FA4D58">
        <w:rPr>
          <w:rFonts w:ascii="Times New Roman" w:hAnsi="Times New Roman" w:cs="Times New Roman"/>
          <w:sz w:val="22"/>
          <w:szCs w:val="22"/>
        </w:rPr>
        <w:t xml:space="preserve">es entre les causes mentales » [NB : autorise l’idée d’une </w:t>
      </w:r>
      <w:r w:rsidRPr="00FA4D58">
        <w:rPr>
          <w:rFonts w:ascii="Times New Roman" w:hAnsi="Times New Roman" w:cs="Times New Roman"/>
          <w:i/>
          <w:sz w:val="22"/>
          <w:szCs w:val="22"/>
        </w:rPr>
        <w:t>science</w:t>
      </w:r>
      <w:r w:rsidRPr="00FA4D58">
        <w:rPr>
          <w:rFonts w:ascii="Times New Roman" w:hAnsi="Times New Roman" w:cs="Times New Roman"/>
          <w:sz w:val="22"/>
          <w:szCs w:val="22"/>
        </w:rPr>
        <w:t xml:space="preserve">, on passe de l’explication du comportement par les croyances et les désirs à la thèse que cette explication est </w:t>
      </w:r>
      <w:r w:rsidRPr="00FA4D58">
        <w:rPr>
          <w:rFonts w:ascii="Times New Roman" w:hAnsi="Times New Roman" w:cs="Times New Roman"/>
          <w:i/>
          <w:sz w:val="22"/>
          <w:szCs w:val="22"/>
        </w:rPr>
        <w:t>causale</w:t>
      </w:r>
      <w:r w:rsidRPr="00FA4D58">
        <w:rPr>
          <w:rFonts w:ascii="Times New Roman" w:hAnsi="Times New Roman" w:cs="Times New Roman"/>
          <w:sz w:val="22"/>
          <w:szCs w:val="22"/>
        </w:rPr>
        <w:t>, et les causes sont les états mentaux (croyances et désirs)</w:t>
      </w:r>
      <w:r w:rsidR="000172AD" w:rsidRPr="00FA4D58">
        <w:rPr>
          <w:rFonts w:ascii="Times New Roman" w:hAnsi="Times New Roman" w:cs="Times New Roman"/>
          <w:sz w:val="22"/>
          <w:szCs w:val="22"/>
        </w:rPr>
        <w:t>]</w:t>
      </w:r>
    </w:p>
    <w:p w:rsidR="00E14A15" w:rsidRPr="00FA4D58" w:rsidRDefault="00E14A15" w:rsidP="00E14A15">
      <w:p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Contre le béhaviourisme, </w:t>
      </w:r>
      <w:r w:rsidRPr="00FA4D58">
        <w:rPr>
          <w:rFonts w:ascii="Times New Roman" w:hAnsi="Times New Roman" w:cs="Times New Roman"/>
          <w:sz w:val="22"/>
          <w:szCs w:val="22"/>
          <w:u w:val="single"/>
        </w:rPr>
        <w:t>on retient</w:t>
      </w:r>
      <w:r w:rsidRPr="00FA4D58">
        <w:rPr>
          <w:rFonts w:ascii="Times New Roman" w:hAnsi="Times New Roman" w:cs="Times New Roman"/>
          <w:sz w:val="22"/>
          <w:szCs w:val="22"/>
        </w:rPr>
        <w:t xml:space="preserve"> de (comme) Descartes que l’esprit est </w:t>
      </w:r>
    </w:p>
    <w:p w:rsidR="00E14A15" w:rsidRPr="00FA4D58" w:rsidRDefault="00E14A15" w:rsidP="000172AD">
      <w:pPr>
        <w:pStyle w:val="Paragraphedeliste"/>
        <w:numPr>
          <w:ilvl w:val="0"/>
          <w:numId w:val="1"/>
        </w:numPr>
        <w:spacing w:before="0"/>
        <w:ind w:left="726" w:hanging="442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le siège de « représentations » (idées-tableaux), éventuellement de </w:t>
      </w:r>
      <w:proofErr w:type="spellStart"/>
      <w:r w:rsidRPr="00FA4D58">
        <w:rPr>
          <w:rFonts w:ascii="Times New Roman" w:hAnsi="Times New Roman" w:cs="Times New Roman"/>
          <w:i/>
          <w:sz w:val="22"/>
          <w:szCs w:val="22"/>
        </w:rPr>
        <w:t>qualia</w:t>
      </w:r>
      <w:proofErr w:type="spellEnd"/>
      <w:r w:rsidRPr="00FA4D5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A4D58">
        <w:rPr>
          <w:rFonts w:ascii="Times New Roman" w:hAnsi="Times New Roman" w:cs="Times New Roman"/>
          <w:sz w:val="22"/>
          <w:szCs w:val="22"/>
        </w:rPr>
        <w:t xml:space="preserve"> subjectifs (modèle d’une boîte à croyances et à désirs)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que ces </w:t>
      </w:r>
      <w:r w:rsidRPr="00FA4D58">
        <w:rPr>
          <w:rFonts w:ascii="Times New Roman" w:hAnsi="Times New Roman" w:cs="Times New Roman"/>
          <w:i/>
          <w:sz w:val="22"/>
          <w:szCs w:val="22"/>
        </w:rPr>
        <w:t xml:space="preserve">représentations </w:t>
      </w:r>
      <w:r w:rsidRPr="00FA4D58">
        <w:rPr>
          <w:rFonts w:ascii="Times New Roman" w:hAnsi="Times New Roman" w:cs="Times New Roman"/>
          <w:sz w:val="22"/>
          <w:szCs w:val="22"/>
        </w:rPr>
        <w:t xml:space="preserve">mentales </w:t>
      </w:r>
      <w:r w:rsidRPr="00FA4D58">
        <w:rPr>
          <w:rFonts w:ascii="Times New Roman" w:hAnsi="Times New Roman" w:cs="Times New Roman"/>
          <w:i/>
          <w:sz w:val="22"/>
          <w:szCs w:val="22"/>
        </w:rPr>
        <w:t>causent</w:t>
      </w:r>
      <w:r w:rsidRPr="00FA4D58">
        <w:rPr>
          <w:rFonts w:ascii="Times New Roman" w:hAnsi="Times New Roman" w:cs="Times New Roman"/>
          <w:sz w:val="22"/>
          <w:szCs w:val="22"/>
        </w:rPr>
        <w:t xml:space="preserve"> des états du corps et </w:t>
      </w:r>
      <w:r w:rsidRPr="00FA4D58">
        <w:rPr>
          <w:rFonts w:ascii="Times New Roman" w:hAnsi="Times New Roman" w:cs="Times New Roman"/>
          <w:i/>
          <w:sz w:val="22"/>
          <w:szCs w:val="22"/>
        </w:rPr>
        <w:t>sont causés</w:t>
      </w:r>
      <w:r w:rsidRPr="00FA4D58">
        <w:rPr>
          <w:rFonts w:ascii="Times New Roman" w:hAnsi="Times New Roman" w:cs="Times New Roman"/>
          <w:sz w:val="22"/>
          <w:szCs w:val="22"/>
        </w:rPr>
        <w:t>, pour certaines d’entre elles, fondamentales, par des états du corps</w:t>
      </w:r>
    </w:p>
    <w:p w:rsidR="00E14A15" w:rsidRPr="00FA4D58" w:rsidRDefault="00E14A15" w:rsidP="00E14A15">
      <w:pPr>
        <w:pStyle w:val="Paragraphedeliste"/>
        <w:ind w:left="72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Cf. Théorie </w:t>
      </w:r>
      <w:proofErr w:type="spellStart"/>
      <w:r w:rsidRPr="00FA4D58">
        <w:rPr>
          <w:rFonts w:ascii="Times New Roman" w:hAnsi="Times New Roman" w:cs="Times New Roman"/>
          <w:sz w:val="22"/>
          <w:szCs w:val="22"/>
        </w:rPr>
        <w:t>représentationniste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 xml:space="preserve"> de l’esprit (</w:t>
      </w:r>
      <w:proofErr w:type="spellStart"/>
      <w:r w:rsidRPr="00FA4D58">
        <w:rPr>
          <w:rFonts w:ascii="Times New Roman" w:hAnsi="Times New Roman" w:cs="Times New Roman"/>
          <w:sz w:val="22"/>
          <w:szCs w:val="22"/>
        </w:rPr>
        <w:t>Fodor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>)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  <w:u w:val="single"/>
        </w:rPr>
        <w:t>On ajoute </w:t>
      </w:r>
      <w:r w:rsidRPr="00FA4D58">
        <w:rPr>
          <w:rFonts w:ascii="Times New Roman" w:hAnsi="Times New Roman" w:cs="Times New Roman"/>
          <w:sz w:val="22"/>
          <w:szCs w:val="22"/>
        </w:rPr>
        <w:t>: Révolution cognitive (</w:t>
      </w:r>
      <w:proofErr w:type="spellStart"/>
      <w:r w:rsidRPr="00FA4D58">
        <w:rPr>
          <w:rFonts w:ascii="Times New Roman" w:hAnsi="Times New Roman" w:cs="Times New Roman"/>
          <w:sz w:val="22"/>
          <w:szCs w:val="22"/>
        </w:rPr>
        <w:t>Fodor</w:t>
      </w:r>
      <w:proofErr w:type="spellEnd"/>
      <w:r w:rsidRPr="00FA4D58">
        <w:rPr>
          <w:rFonts w:ascii="Times New Roman" w:hAnsi="Times New Roman" w:cs="Times New Roman"/>
          <w:sz w:val="22"/>
          <w:szCs w:val="22"/>
        </w:rPr>
        <w:t xml:space="preserve">) : </w:t>
      </w:r>
      <w:r w:rsidRPr="00FA4D58">
        <w:rPr>
          <w:rFonts w:ascii="Times New Roman" w:hAnsi="Times New Roman" w:cs="Times New Roman"/>
          <w:i/>
          <w:sz w:val="22"/>
          <w:szCs w:val="22"/>
        </w:rPr>
        <w:t>condition de formalité </w:t>
      </w:r>
      <w:r w:rsidRPr="00FA4D58">
        <w:rPr>
          <w:rFonts w:ascii="Times New Roman" w:hAnsi="Times New Roman" w:cs="Times New Roman"/>
          <w:sz w:val="22"/>
          <w:szCs w:val="22"/>
        </w:rPr>
        <w:t>: les contenus n’ont pas de pouvoir causal, seules des inscriptions physiques (symboles) en ont, et doivent différer selon les contenus (syntaxe) : survenance du contenu sur la syntaxe (physique)</w:t>
      </w:r>
      <w:r w:rsidR="000172AD" w:rsidRPr="00FA4D58">
        <w:rPr>
          <w:rFonts w:ascii="Times New Roman" w:hAnsi="Times New Roman" w:cs="Times New Roman"/>
          <w:sz w:val="22"/>
          <w:szCs w:val="22"/>
        </w:rPr>
        <w:t xml:space="preserve"> ; l’esprit </w:t>
      </w:r>
      <w:r w:rsidR="000172AD" w:rsidRPr="00FA4D58">
        <w:rPr>
          <w:rFonts w:ascii="Times New Roman" w:hAnsi="Times New Roman" w:cs="Times New Roman"/>
          <w:i/>
          <w:sz w:val="22"/>
          <w:szCs w:val="22"/>
        </w:rPr>
        <w:t>calcule</w:t>
      </w:r>
      <w:r w:rsidR="000172AD" w:rsidRPr="00FA4D58">
        <w:rPr>
          <w:rFonts w:ascii="Times New Roman" w:hAnsi="Times New Roman" w:cs="Times New Roman"/>
          <w:sz w:val="22"/>
          <w:szCs w:val="22"/>
        </w:rPr>
        <w:t xml:space="preserve"> sur ses états syntaxiques (ordinateur).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  <w:u w:val="single"/>
        </w:rPr>
        <w:t>On ne retient pas</w:t>
      </w:r>
      <w:r w:rsidRPr="00FA4D58">
        <w:rPr>
          <w:rFonts w:ascii="Times New Roman" w:hAnsi="Times New Roman" w:cs="Times New Roman"/>
          <w:sz w:val="22"/>
          <w:szCs w:val="22"/>
        </w:rPr>
        <w:t xml:space="preserve"> (toujours) la méthode </w:t>
      </w:r>
      <w:r w:rsidRPr="00FA4D58">
        <w:rPr>
          <w:rFonts w:ascii="Times New Roman" w:hAnsi="Times New Roman" w:cs="Times New Roman"/>
          <w:i/>
          <w:sz w:val="22"/>
          <w:szCs w:val="22"/>
        </w:rPr>
        <w:t>introspective</w:t>
      </w:r>
      <w:r w:rsidRPr="00FA4D58">
        <w:rPr>
          <w:rFonts w:ascii="Times New Roman" w:hAnsi="Times New Roman" w:cs="Times New Roman"/>
          <w:sz w:val="22"/>
          <w:szCs w:val="22"/>
        </w:rPr>
        <w:t>, en première personne, pour connaître l’esprit, ses états, ses actes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  <w:u w:val="single"/>
        </w:rPr>
        <w:t>On oppose</w:t>
      </w:r>
      <w:r w:rsidRPr="00FA4D58">
        <w:rPr>
          <w:rFonts w:ascii="Times New Roman" w:hAnsi="Times New Roman" w:cs="Times New Roman"/>
          <w:sz w:val="22"/>
          <w:szCs w:val="22"/>
        </w:rPr>
        <w:t xml:space="preserve"> à Descartes que l’esprit n’a pas à être d’une autre </w:t>
      </w:r>
      <w:r w:rsidRPr="00FA4D58">
        <w:rPr>
          <w:rFonts w:ascii="Times New Roman" w:hAnsi="Times New Roman" w:cs="Times New Roman"/>
          <w:i/>
          <w:sz w:val="22"/>
          <w:szCs w:val="22"/>
        </w:rPr>
        <w:t>nature</w:t>
      </w:r>
      <w:r w:rsidRPr="00FA4D58">
        <w:rPr>
          <w:rFonts w:ascii="Times New Roman" w:hAnsi="Times New Roman" w:cs="Times New Roman"/>
          <w:sz w:val="22"/>
          <w:szCs w:val="22"/>
        </w:rPr>
        <w:t xml:space="preserve"> que le corps : le cerveau est un (une partie du) corps qui est le siège de ces représentations mentales. Contre le </w:t>
      </w:r>
      <w:r w:rsidRPr="00FA4D58">
        <w:rPr>
          <w:rFonts w:ascii="Times New Roman" w:hAnsi="Times New Roman" w:cs="Times New Roman"/>
          <w:i/>
          <w:sz w:val="22"/>
          <w:szCs w:val="22"/>
        </w:rPr>
        <w:t>spiritualisme </w:t>
      </w:r>
      <w:r w:rsidRPr="00FA4D58">
        <w:rPr>
          <w:rFonts w:ascii="Times New Roman" w:hAnsi="Times New Roman" w:cs="Times New Roman"/>
          <w:sz w:val="22"/>
          <w:szCs w:val="22"/>
        </w:rPr>
        <w:t>: matérialisme, physicalisme, naturalisme…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b/>
          <w:sz w:val="22"/>
          <w:szCs w:val="22"/>
        </w:rPr>
      </w:pPr>
      <w:r w:rsidRPr="00FA4D58">
        <w:rPr>
          <w:rFonts w:ascii="Times New Roman" w:hAnsi="Times New Roman" w:cs="Times New Roman"/>
          <w:b/>
          <w:sz w:val="22"/>
          <w:szCs w:val="22"/>
        </w:rPr>
        <w:t>La métaphysique du mentalisme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t xml:space="preserve">Dualisme </w:t>
      </w:r>
      <w:r w:rsidRPr="00FA4D58">
        <w:rPr>
          <w:rFonts w:ascii="Times New Roman" w:hAnsi="Times New Roman" w:cs="Times New Roman"/>
          <w:sz w:val="22"/>
          <w:szCs w:val="22"/>
        </w:rPr>
        <w:t xml:space="preserve"> des propriétés / prédicats : intérieur / extérieur, subjectif / objectif, intentionnel / non-intentionnel ; 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i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t>Dualisme</w:t>
      </w:r>
      <w:r w:rsidRPr="00FA4D58">
        <w:rPr>
          <w:rFonts w:ascii="Times New Roman" w:hAnsi="Times New Roman" w:cs="Times New Roman"/>
          <w:sz w:val="22"/>
          <w:szCs w:val="22"/>
        </w:rPr>
        <w:t xml:space="preserve"> du </w:t>
      </w:r>
      <w:r w:rsidRPr="00FA4D58">
        <w:rPr>
          <w:rFonts w:ascii="Times New Roman" w:hAnsi="Times New Roman" w:cs="Times New Roman"/>
          <w:i/>
          <w:sz w:val="22"/>
          <w:szCs w:val="22"/>
        </w:rPr>
        <w:t xml:space="preserve">nombre </w:t>
      </w:r>
      <w:r w:rsidRPr="00FA4D58">
        <w:rPr>
          <w:rFonts w:ascii="Times New Roman" w:hAnsi="Times New Roman" w:cs="Times New Roman"/>
          <w:sz w:val="22"/>
          <w:szCs w:val="22"/>
        </w:rPr>
        <w:t>des substances : la sphère de l’esprit distincte de celle du corps 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t>Dualisme vs Monisme</w:t>
      </w:r>
      <w:r w:rsidRPr="00FA4D58">
        <w:rPr>
          <w:rFonts w:ascii="Times New Roman" w:hAnsi="Times New Roman" w:cs="Times New Roman"/>
          <w:sz w:val="22"/>
          <w:szCs w:val="22"/>
        </w:rPr>
        <w:t xml:space="preserve"> des </w:t>
      </w:r>
      <w:r w:rsidRPr="00FA4D58">
        <w:rPr>
          <w:rFonts w:ascii="Times New Roman" w:hAnsi="Times New Roman" w:cs="Times New Roman"/>
          <w:i/>
          <w:sz w:val="22"/>
          <w:szCs w:val="22"/>
        </w:rPr>
        <w:t xml:space="preserve">genres </w:t>
      </w:r>
      <w:r w:rsidRPr="00FA4D58">
        <w:rPr>
          <w:rFonts w:ascii="Times New Roman" w:hAnsi="Times New Roman" w:cs="Times New Roman"/>
          <w:sz w:val="22"/>
          <w:szCs w:val="22"/>
        </w:rPr>
        <w:t>de substances : spiritualisme vs matérialisme</w:t>
      </w:r>
    </w:p>
    <w:p w:rsidR="00E14A15" w:rsidRPr="00FA4D58" w:rsidRDefault="00E14A15" w:rsidP="000172AD">
      <w:pPr>
        <w:spacing w:before="0"/>
        <w:ind w:left="284" w:firstLine="0"/>
        <w:rPr>
          <w:rFonts w:ascii="Times New Roman" w:hAnsi="Times New Roman" w:cs="Times New Roman"/>
          <w:i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t>Monisme métaphysique</w:t>
      </w:r>
      <w:r w:rsidRPr="00FA4D58">
        <w:rPr>
          <w:rFonts w:ascii="Times New Roman" w:hAnsi="Times New Roman" w:cs="Times New Roman"/>
          <w:sz w:val="22"/>
          <w:szCs w:val="22"/>
        </w:rPr>
        <w:t xml:space="preserve"> (des catégories) : concepts de substances/choses, d’états (du corps ou de l’esprit) appliqués également aux phénomènes physiques et mentaux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L’esprit (cerveau) est</w:t>
      </w:r>
    </w:p>
    <w:p w:rsidR="00E14A15" w:rsidRPr="00FA4D58" w:rsidRDefault="00E14A15" w:rsidP="000172AD">
      <w:pPr>
        <w:pStyle w:val="Paragraphedeliste"/>
        <w:numPr>
          <w:ilvl w:val="0"/>
          <w:numId w:val="1"/>
        </w:numPr>
        <w:spacing w:before="0"/>
        <w:ind w:left="726" w:hanging="442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une partie de la personne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intérieur à la personne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siège des causes du comportement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connu par inférence des effets aux causes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i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t>Objections :</w:t>
      </w:r>
    </w:p>
    <w:p w:rsidR="00E14A15" w:rsidRPr="00FA4D58" w:rsidRDefault="00E14A15" w:rsidP="00E14A15">
      <w:p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Le mentalisme (spiritualiste ou matérialiste) attribue les phénomènes mentaux (sensations, émotions, croyances, désirs, </w:t>
      </w:r>
      <w:proofErr w:type="gramStart"/>
      <w:r w:rsidRPr="00FA4D58">
        <w:rPr>
          <w:rFonts w:ascii="Times New Roman" w:hAnsi="Times New Roman" w:cs="Times New Roman"/>
          <w:sz w:val="22"/>
          <w:szCs w:val="22"/>
        </w:rPr>
        <w:t>raisonnements…)</w:t>
      </w:r>
      <w:proofErr w:type="gramEnd"/>
      <w:r w:rsidRPr="00FA4D58">
        <w:rPr>
          <w:rFonts w:ascii="Times New Roman" w:hAnsi="Times New Roman" w:cs="Times New Roman"/>
          <w:sz w:val="22"/>
          <w:szCs w:val="22"/>
        </w:rPr>
        <w:t xml:space="preserve"> à une </w:t>
      </w:r>
      <w:r w:rsidRPr="00FA4D58">
        <w:rPr>
          <w:rFonts w:ascii="Times New Roman" w:hAnsi="Times New Roman" w:cs="Times New Roman"/>
          <w:i/>
          <w:sz w:val="22"/>
          <w:szCs w:val="22"/>
        </w:rPr>
        <w:t>partie</w:t>
      </w:r>
      <w:r w:rsidRPr="00FA4D58">
        <w:rPr>
          <w:rFonts w:ascii="Times New Roman" w:hAnsi="Times New Roman" w:cs="Times New Roman"/>
          <w:sz w:val="22"/>
          <w:szCs w:val="22"/>
        </w:rPr>
        <w:t xml:space="preserve"> de la personne et non au </w:t>
      </w:r>
      <w:r w:rsidRPr="00FA4D58">
        <w:rPr>
          <w:rFonts w:ascii="Times New Roman" w:hAnsi="Times New Roman" w:cs="Times New Roman"/>
          <w:i/>
          <w:sz w:val="22"/>
          <w:szCs w:val="22"/>
        </w:rPr>
        <w:t>tout </w:t>
      </w:r>
      <w:r w:rsidRPr="00FA4D58">
        <w:rPr>
          <w:rFonts w:ascii="Times New Roman" w:hAnsi="Times New Roman" w:cs="Times New Roman"/>
          <w:sz w:val="22"/>
          <w:szCs w:val="22"/>
        </w:rPr>
        <w:t xml:space="preserve">: l’âme (Descartes) ou le cerveau vs Descartes lui-même. </w:t>
      </w:r>
    </w:p>
    <w:p w:rsidR="00281001" w:rsidRPr="00FA4D58" w:rsidRDefault="00281001" w:rsidP="00281001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- L’intérieur et l’extérieur : Le dualisme métaphysique est favorisé par l’identification de l’esprit à la </w:t>
      </w:r>
      <w:r w:rsidRPr="00FA4D58">
        <w:rPr>
          <w:rFonts w:ascii="Times New Roman" w:hAnsi="Times New Roman" w:cs="Times New Roman"/>
          <w:i/>
          <w:sz w:val="22"/>
          <w:szCs w:val="22"/>
        </w:rPr>
        <w:t>conscience</w:t>
      </w:r>
      <w:r w:rsidRPr="00FA4D58">
        <w:rPr>
          <w:rFonts w:ascii="Times New Roman" w:hAnsi="Times New Roman" w:cs="Times New Roman"/>
          <w:sz w:val="22"/>
          <w:szCs w:val="22"/>
        </w:rPr>
        <w:t xml:space="preserve">, qui doit être </w:t>
      </w:r>
      <w:r w:rsidRPr="00FA4D58">
        <w:rPr>
          <w:rFonts w:ascii="Times New Roman" w:hAnsi="Times New Roman" w:cs="Times New Roman"/>
          <w:i/>
          <w:sz w:val="22"/>
          <w:szCs w:val="22"/>
        </w:rPr>
        <w:t>dedans</w:t>
      </w:r>
      <w:r w:rsidRPr="00FA4D58">
        <w:rPr>
          <w:rFonts w:ascii="Times New Roman" w:hAnsi="Times New Roman" w:cs="Times New Roman"/>
          <w:sz w:val="22"/>
          <w:szCs w:val="22"/>
        </w:rPr>
        <w:t xml:space="preserve">, mais l’esprit est bien plutôt </w:t>
      </w:r>
      <w:r w:rsidRPr="00FA4D58">
        <w:rPr>
          <w:rFonts w:ascii="Times New Roman" w:hAnsi="Times New Roman" w:cs="Times New Roman"/>
          <w:i/>
          <w:sz w:val="22"/>
          <w:szCs w:val="22"/>
        </w:rPr>
        <w:t>dehors</w:t>
      </w:r>
    </w:p>
    <w:p w:rsidR="00281001" w:rsidRPr="00281001" w:rsidRDefault="00281001" w:rsidP="00281001">
      <w:pPr>
        <w:spacing w:before="0"/>
        <w:ind w:left="284" w:firstLine="0"/>
        <w:rPr>
          <w:rFonts w:ascii="Times New Roman" w:hAnsi="Times New Roman" w:cs="Times New Roman"/>
          <w:sz w:val="20"/>
          <w:szCs w:val="20"/>
        </w:rPr>
      </w:pPr>
      <w:r w:rsidRPr="00281001">
        <w:rPr>
          <w:rFonts w:ascii="Times New Roman" w:hAnsi="Times New Roman" w:cs="Times New Roman"/>
          <w:sz w:val="20"/>
          <w:szCs w:val="20"/>
        </w:rPr>
        <w:t xml:space="preserve">« Le sentiment n’est rien que l’aspect intérieur des choses, alors que l’esprit, au contraire, est essentiellement un phénomène extérieur » (Peirce, </w:t>
      </w:r>
      <w:proofErr w:type="spellStart"/>
      <w:r w:rsidRPr="00281001">
        <w:rPr>
          <w:rFonts w:ascii="Times New Roman" w:hAnsi="Times New Roman" w:cs="Times New Roman"/>
          <w:i/>
          <w:sz w:val="20"/>
          <w:szCs w:val="20"/>
        </w:rPr>
        <w:t>Collected</w:t>
      </w:r>
      <w:proofErr w:type="spellEnd"/>
      <w:r w:rsidRPr="002810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001">
        <w:rPr>
          <w:rFonts w:ascii="Times New Roman" w:hAnsi="Times New Roman" w:cs="Times New Roman"/>
          <w:i/>
          <w:sz w:val="20"/>
          <w:szCs w:val="20"/>
        </w:rPr>
        <w:t>Papers</w:t>
      </w:r>
      <w:proofErr w:type="spellEnd"/>
      <w:r w:rsidRPr="00281001">
        <w:rPr>
          <w:rFonts w:ascii="Times New Roman" w:hAnsi="Times New Roman" w:cs="Times New Roman"/>
          <w:sz w:val="20"/>
          <w:szCs w:val="20"/>
        </w:rPr>
        <w:t xml:space="preserve">, 7.364, cité par </w:t>
      </w:r>
      <w:proofErr w:type="spellStart"/>
      <w:r w:rsidRPr="00281001">
        <w:rPr>
          <w:rFonts w:ascii="Times New Roman" w:hAnsi="Times New Roman" w:cs="Times New Roman"/>
          <w:sz w:val="20"/>
          <w:szCs w:val="20"/>
        </w:rPr>
        <w:t>Descombes</w:t>
      </w:r>
      <w:proofErr w:type="spellEnd"/>
      <w:r w:rsidRPr="00281001">
        <w:rPr>
          <w:rFonts w:ascii="Times New Roman" w:hAnsi="Times New Roman" w:cs="Times New Roman"/>
          <w:sz w:val="20"/>
          <w:szCs w:val="20"/>
        </w:rPr>
        <w:t>, p. 103)</w:t>
      </w:r>
    </w:p>
    <w:p w:rsidR="00E14A15" w:rsidRPr="00FA4D58" w:rsidRDefault="00E14A15" w:rsidP="00281001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- </w:t>
      </w:r>
      <w:r w:rsidRPr="00FA4D58">
        <w:rPr>
          <w:rFonts w:ascii="Times New Roman" w:hAnsi="Times New Roman" w:cs="Times New Roman"/>
          <w:i/>
          <w:sz w:val="22"/>
          <w:szCs w:val="22"/>
        </w:rPr>
        <w:t>sophisme de l’homoncule </w:t>
      </w:r>
      <w:r w:rsidRPr="00FA4D58">
        <w:rPr>
          <w:rFonts w:ascii="Times New Roman" w:hAnsi="Times New Roman" w:cs="Times New Roman"/>
          <w:sz w:val="22"/>
          <w:szCs w:val="22"/>
        </w:rPr>
        <w:t>: on explique par ce que fait le tout en disant que c’est ce que fait la partie (application à l’esprit des prédicats appropriés à l’homme)</w:t>
      </w:r>
      <w:r w:rsidR="00281001">
        <w:rPr>
          <w:rFonts w:ascii="Times New Roman" w:hAnsi="Times New Roman" w:cs="Times New Roman"/>
          <w:sz w:val="22"/>
          <w:szCs w:val="22"/>
        </w:rPr>
        <w:t xml:space="preserve">, </w:t>
      </w:r>
      <w:r w:rsidR="00281001" w:rsidRPr="00281001">
        <w:rPr>
          <w:rFonts w:ascii="Times New Roman" w:hAnsi="Times New Roman" w:cs="Times New Roman"/>
          <w:i/>
          <w:sz w:val="22"/>
          <w:szCs w:val="22"/>
        </w:rPr>
        <w:t>circulaire</w:t>
      </w:r>
    </w:p>
    <w:p w:rsidR="00E14A15" w:rsidRPr="00281001" w:rsidRDefault="00E14A15" w:rsidP="00281001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i/>
          <w:sz w:val="22"/>
          <w:szCs w:val="22"/>
        </w:rPr>
        <w:lastRenderedPageBreak/>
        <w:t xml:space="preserve">- </w:t>
      </w:r>
      <w:proofErr w:type="spellStart"/>
      <w:r w:rsidRPr="00FA4D58">
        <w:rPr>
          <w:rFonts w:ascii="Times New Roman" w:hAnsi="Times New Roman" w:cs="Times New Roman"/>
          <w:i/>
          <w:sz w:val="22"/>
          <w:szCs w:val="22"/>
        </w:rPr>
        <w:t>actiones</w:t>
      </w:r>
      <w:proofErr w:type="spellEnd"/>
      <w:r w:rsidRPr="00FA4D5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A4D58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FA4D5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A4D58">
        <w:rPr>
          <w:rFonts w:ascii="Times New Roman" w:hAnsi="Times New Roman" w:cs="Times New Roman"/>
          <w:i/>
          <w:sz w:val="22"/>
          <w:szCs w:val="22"/>
        </w:rPr>
        <w:t>suppositorum</w:t>
      </w:r>
      <w:proofErr w:type="spellEnd"/>
      <w:r w:rsidRPr="00FA4D58">
        <w:rPr>
          <w:rFonts w:ascii="Times New Roman" w:hAnsi="Times New Roman" w:cs="Times New Roman"/>
          <w:i/>
          <w:sz w:val="22"/>
          <w:szCs w:val="22"/>
        </w:rPr>
        <w:t> </w:t>
      </w:r>
      <w:r w:rsidRPr="00FA4D58">
        <w:rPr>
          <w:rFonts w:ascii="Times New Roman" w:hAnsi="Times New Roman" w:cs="Times New Roman"/>
          <w:sz w:val="22"/>
          <w:szCs w:val="22"/>
        </w:rPr>
        <w:t>: c’est à l’animal (composé de parties) qu’il convient de faire les attributions de la vie animale</w:t>
      </w:r>
      <w:r w:rsidR="00281001">
        <w:rPr>
          <w:rFonts w:ascii="Times New Roman" w:hAnsi="Times New Roman" w:cs="Times New Roman"/>
          <w:sz w:val="22"/>
          <w:szCs w:val="22"/>
        </w:rPr>
        <w:t xml:space="preserve">, l’attribution à une partie est </w:t>
      </w:r>
      <w:r w:rsidR="00281001" w:rsidRPr="00281001">
        <w:rPr>
          <w:rFonts w:ascii="Times New Roman" w:hAnsi="Times New Roman" w:cs="Times New Roman"/>
          <w:i/>
          <w:sz w:val="22"/>
          <w:szCs w:val="22"/>
        </w:rPr>
        <w:t>aberrante</w:t>
      </w:r>
      <w:r w:rsidR="00281001">
        <w:rPr>
          <w:rFonts w:ascii="Times New Roman" w:hAnsi="Times New Roman" w:cs="Times New Roman"/>
          <w:sz w:val="22"/>
          <w:szCs w:val="22"/>
        </w:rPr>
        <w:t xml:space="preserve"> (mon esprit pense, désire – que mon corps se baigne ?)</w:t>
      </w:r>
    </w:p>
    <w:p w:rsidR="00E14A15" w:rsidRPr="00FA4D58" w:rsidRDefault="00E14A15" w:rsidP="00E14A15">
      <w:pPr>
        <w:rPr>
          <w:rFonts w:ascii="Times New Roman" w:hAnsi="Times New Roman" w:cs="Times New Roman"/>
          <w:b/>
          <w:sz w:val="22"/>
          <w:szCs w:val="22"/>
        </w:rPr>
      </w:pPr>
      <w:r w:rsidRPr="00FA4D58">
        <w:rPr>
          <w:rFonts w:ascii="Times New Roman" w:hAnsi="Times New Roman" w:cs="Times New Roman"/>
          <w:b/>
          <w:sz w:val="22"/>
          <w:szCs w:val="22"/>
        </w:rPr>
        <w:t>La métaphysique des états mentaux</w:t>
      </w:r>
    </w:p>
    <w:p w:rsidR="00E14A15" w:rsidRPr="00281001" w:rsidRDefault="00E14A15" w:rsidP="00E14A15">
      <w:pPr>
        <w:rPr>
          <w:rFonts w:ascii="Times New Roman" w:hAnsi="Times New Roman" w:cs="Times New Roman"/>
          <w:sz w:val="20"/>
          <w:szCs w:val="20"/>
        </w:rPr>
      </w:pPr>
      <w:r w:rsidRPr="00281001">
        <w:rPr>
          <w:rFonts w:ascii="Times New Roman" w:hAnsi="Times New Roman" w:cs="Times New Roman"/>
          <w:sz w:val="20"/>
          <w:szCs w:val="20"/>
        </w:rPr>
        <w:t xml:space="preserve">« Comment le problème philosophique des processus et états psychiques et du béhaviourisme peut-il bien surgir ? – Le premier pas dans cette direction passe complètement inaperçu. Nous parlons de processus et d’états en laissant leur nature </w:t>
      </w:r>
      <w:proofErr w:type="spellStart"/>
      <w:r w:rsidRPr="00281001">
        <w:rPr>
          <w:rFonts w:ascii="Times New Roman" w:hAnsi="Times New Roman" w:cs="Times New Roman"/>
          <w:sz w:val="20"/>
          <w:szCs w:val="20"/>
        </w:rPr>
        <w:t>indécidée</w:t>
      </w:r>
      <w:proofErr w:type="spellEnd"/>
      <w:r w:rsidRPr="00281001">
        <w:rPr>
          <w:rFonts w:ascii="Times New Roman" w:hAnsi="Times New Roman" w:cs="Times New Roman"/>
          <w:sz w:val="20"/>
          <w:szCs w:val="20"/>
        </w:rPr>
        <w:t xml:space="preserve"> ! Peut-être un jour connaîtrons-nous plus de choses à leur sujet, pensons-nous. Mais nous avons ainsi arrêté une manière déterminée de les considérer. Car nous avons un concept déterminé de ce que veut dire : apprendre à mieux connaître un certain processus. (Le pas décisif dans le tour de passe-passe est franchi, et c’est justement lui qui nous semblait innocent). – Et la comparaison qui aurait dû nous rendre nos pensées compréhensibles s’effondre alors. Aussi nous faut-il nier l’existence d’un processus encore incompris qui se déroulerait dans un </w:t>
      </w:r>
      <w:r w:rsidRPr="00281001">
        <w:rPr>
          <w:rFonts w:ascii="Times New Roman" w:hAnsi="Times New Roman" w:cs="Times New Roman"/>
          <w:i/>
          <w:sz w:val="20"/>
          <w:szCs w:val="20"/>
        </w:rPr>
        <w:t>medium</w:t>
      </w:r>
      <w:r w:rsidRPr="00281001">
        <w:rPr>
          <w:rFonts w:ascii="Times New Roman" w:hAnsi="Times New Roman" w:cs="Times New Roman"/>
          <w:sz w:val="20"/>
          <w:szCs w:val="20"/>
        </w:rPr>
        <w:t xml:space="preserve"> encore inexploré. Mais nous semblons ainsi avoir nié l’existence des processus psychiques. Pourtant ne voulons évidemment pas la nier. (Wittgenstein, </w:t>
      </w:r>
      <w:r w:rsidRPr="00281001">
        <w:rPr>
          <w:rFonts w:ascii="Times New Roman" w:hAnsi="Times New Roman" w:cs="Times New Roman"/>
          <w:i/>
          <w:sz w:val="20"/>
          <w:szCs w:val="20"/>
        </w:rPr>
        <w:t>Recherches Philosophiques</w:t>
      </w:r>
      <w:r w:rsidRPr="00281001">
        <w:rPr>
          <w:rFonts w:ascii="Times New Roman" w:hAnsi="Times New Roman" w:cs="Times New Roman"/>
          <w:sz w:val="20"/>
          <w:szCs w:val="20"/>
        </w:rPr>
        <w:t xml:space="preserve"> §308)</w:t>
      </w:r>
    </w:p>
    <w:p w:rsidR="00E14A15" w:rsidRPr="00FA4D58" w:rsidRDefault="00E14A15" w:rsidP="00E14A15">
      <w:p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• Tout ‘état d’esprit’ n’est pas un </w:t>
      </w:r>
      <w:r w:rsidRPr="00FA4D58">
        <w:rPr>
          <w:rFonts w:ascii="Times New Roman" w:hAnsi="Times New Roman" w:cs="Times New Roman"/>
          <w:i/>
          <w:sz w:val="22"/>
          <w:szCs w:val="22"/>
        </w:rPr>
        <w:t>état </w:t>
      </w:r>
    </w:p>
    <w:p w:rsidR="00E14A15" w:rsidRPr="00FA4D58" w:rsidRDefault="00E14A15" w:rsidP="000172AD">
      <w:pPr>
        <w:pStyle w:val="Paragraphedeliste"/>
        <w:numPr>
          <w:ilvl w:val="0"/>
          <w:numId w:val="1"/>
        </w:numPr>
        <w:spacing w:before="0"/>
        <w:ind w:left="726" w:hanging="442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état vs acte : courir, parler, calculer sont des actions ; « </w:t>
      </w:r>
      <w:r w:rsidRPr="00FA4D58">
        <w:rPr>
          <w:rFonts w:ascii="Times New Roman" w:hAnsi="Times New Roman" w:cs="Times New Roman"/>
          <w:i/>
          <w:sz w:val="22"/>
          <w:szCs w:val="22"/>
        </w:rPr>
        <w:t>voir </w:t>
      </w:r>
      <w:r w:rsidRPr="00FA4D58">
        <w:rPr>
          <w:rFonts w:ascii="Times New Roman" w:hAnsi="Times New Roman" w:cs="Times New Roman"/>
          <w:sz w:val="22"/>
          <w:szCs w:val="22"/>
        </w:rPr>
        <w:t xml:space="preserve">n’est pas une action, mais un état » (Wittgenstein, qui ajoute ‘Remarque grammaticale’, </w:t>
      </w:r>
      <w:r w:rsidRPr="00FA4D58">
        <w:rPr>
          <w:rFonts w:ascii="Times New Roman" w:hAnsi="Times New Roman" w:cs="Times New Roman"/>
          <w:i/>
          <w:sz w:val="22"/>
          <w:szCs w:val="22"/>
        </w:rPr>
        <w:t>Remarques sur la philosophie de la Psychologie</w:t>
      </w:r>
      <w:r w:rsidRPr="00FA4D58">
        <w:rPr>
          <w:rFonts w:ascii="Times New Roman" w:hAnsi="Times New Roman" w:cs="Times New Roman"/>
          <w:sz w:val="22"/>
          <w:szCs w:val="22"/>
        </w:rPr>
        <w:t xml:space="preserve"> I, §1). En particulier un état n’est pas un </w:t>
      </w:r>
      <w:r w:rsidRPr="00FA4D58">
        <w:rPr>
          <w:rFonts w:ascii="Times New Roman" w:hAnsi="Times New Roman" w:cs="Times New Roman"/>
          <w:i/>
          <w:sz w:val="22"/>
          <w:szCs w:val="22"/>
        </w:rPr>
        <w:t>épisode</w:t>
      </w:r>
      <w:r w:rsidRPr="00FA4D58">
        <w:rPr>
          <w:rFonts w:ascii="Times New Roman" w:hAnsi="Times New Roman" w:cs="Times New Roman"/>
          <w:sz w:val="22"/>
          <w:szCs w:val="22"/>
        </w:rPr>
        <w:t> : pas de rythme, de contrôle direct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état vs disposition (</w:t>
      </w:r>
      <w:r w:rsidRPr="00FA4D58">
        <w:rPr>
          <w:rFonts w:ascii="Times New Roman" w:hAnsi="Times New Roman" w:cs="Times New Roman"/>
          <w:i/>
          <w:sz w:val="22"/>
          <w:szCs w:val="22"/>
        </w:rPr>
        <w:t>croire</w:t>
      </w:r>
      <w:r w:rsidRPr="00FA4D58">
        <w:rPr>
          <w:rFonts w:ascii="Times New Roman" w:hAnsi="Times New Roman" w:cs="Times New Roman"/>
          <w:sz w:val="22"/>
          <w:szCs w:val="22"/>
        </w:rPr>
        <w:t>)</w:t>
      </w:r>
      <w:r w:rsidRPr="00FA4D58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Pr="00FA4D58">
        <w:rPr>
          <w:rFonts w:ascii="Times New Roman" w:hAnsi="Times New Roman" w:cs="Times New Roman"/>
          <w:sz w:val="22"/>
          <w:szCs w:val="22"/>
        </w:rPr>
        <w:t xml:space="preserve">profil temporel différent (durée, commencement) cf. voir et croire </w:t>
      </w:r>
    </w:p>
    <w:p w:rsidR="00E14A15" w:rsidRPr="00FA4D58" w:rsidRDefault="00E14A15" w:rsidP="00E14A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état vs capacité : connaître, comprendre supposent un </w:t>
      </w:r>
      <w:r w:rsidRPr="00FA4D58">
        <w:rPr>
          <w:rFonts w:ascii="Times New Roman" w:hAnsi="Times New Roman" w:cs="Times New Roman"/>
          <w:i/>
          <w:sz w:val="22"/>
          <w:szCs w:val="22"/>
        </w:rPr>
        <w:t>pouvoir</w:t>
      </w:r>
      <w:r w:rsidRPr="00FA4D58">
        <w:rPr>
          <w:rFonts w:ascii="Times New Roman" w:hAnsi="Times New Roman" w:cs="Times New Roman"/>
          <w:sz w:val="22"/>
          <w:szCs w:val="22"/>
        </w:rPr>
        <w:t xml:space="preserve"> (réciter l’alphabet, nouer ses lacets)</w:t>
      </w:r>
    </w:p>
    <w:p w:rsidR="00FA4D58" w:rsidRPr="00FA4D58" w:rsidRDefault="00FA4D58" w:rsidP="00FA4D58">
      <w:p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• Un état d’esprit n’est pas un </w:t>
      </w:r>
      <w:r w:rsidRPr="00FA4D58">
        <w:rPr>
          <w:rFonts w:ascii="Times New Roman" w:hAnsi="Times New Roman" w:cs="Times New Roman"/>
          <w:i/>
          <w:sz w:val="22"/>
          <w:szCs w:val="22"/>
        </w:rPr>
        <w:t>état</w:t>
      </w:r>
      <w:r w:rsidRPr="00FA4D58">
        <w:rPr>
          <w:rFonts w:ascii="Times New Roman" w:hAnsi="Times New Roman" w:cs="Times New Roman"/>
          <w:sz w:val="22"/>
          <w:szCs w:val="22"/>
        </w:rPr>
        <w:t xml:space="preserve"> au même sens que les états physiques</w:t>
      </w:r>
    </w:p>
    <w:p w:rsidR="00FA4D58" w:rsidRPr="00FA4D58" w:rsidRDefault="00FA4D58" w:rsidP="00FA4D5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test du </w:t>
      </w:r>
      <w:r w:rsidRPr="00FA4D58">
        <w:rPr>
          <w:rFonts w:ascii="Times New Roman" w:hAnsi="Times New Roman" w:cs="Times New Roman"/>
          <w:i/>
          <w:sz w:val="22"/>
          <w:szCs w:val="22"/>
        </w:rPr>
        <w:t>profil temporel </w:t>
      </w:r>
      <w:r w:rsidRPr="00FA4D58">
        <w:rPr>
          <w:rFonts w:ascii="Times New Roman" w:hAnsi="Times New Roman" w:cs="Times New Roman"/>
          <w:sz w:val="22"/>
          <w:szCs w:val="22"/>
        </w:rPr>
        <w:t>: durée, termes, continuité/interruption, rythme</w:t>
      </w:r>
    </w:p>
    <w:p w:rsidR="00FA4D58" w:rsidRPr="00FA4D58" w:rsidRDefault="00FA4D58" w:rsidP="00FA4D5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>état historique et état actuel (présent) : état de la voiture vs caractère de Jean</w:t>
      </w:r>
      <w:r w:rsidR="009C7D21">
        <w:rPr>
          <w:rFonts w:ascii="Times New Roman" w:hAnsi="Times New Roman" w:cs="Times New Roman"/>
          <w:sz w:val="22"/>
          <w:szCs w:val="22"/>
        </w:rPr>
        <w:t>. Attribuer un état psychologique suppose souvent l’attribution d’une histoire (pas de connaissance d’une langue sans apprentissage : pilule d’espagnol)</w:t>
      </w:r>
    </w:p>
    <w:p w:rsidR="00E14A15" w:rsidRPr="00FA4D58" w:rsidRDefault="00E14A15" w:rsidP="00E14A15">
      <w:pPr>
        <w:ind w:left="284" w:firstLine="0"/>
        <w:rPr>
          <w:rFonts w:ascii="Times New Roman" w:hAnsi="Times New Roman" w:cs="Times New Roman"/>
          <w:i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• Les états d’esprit intentionnels ne sont pas </w:t>
      </w:r>
      <w:r w:rsidRPr="00FA4D58">
        <w:rPr>
          <w:rFonts w:ascii="Times New Roman" w:hAnsi="Times New Roman" w:cs="Times New Roman"/>
          <w:i/>
          <w:sz w:val="22"/>
          <w:szCs w:val="22"/>
        </w:rPr>
        <w:t>internes</w:t>
      </w:r>
    </w:p>
    <w:p w:rsidR="009C7D21" w:rsidRPr="009C7D21" w:rsidRDefault="009C7D21" w:rsidP="009C7D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C7D21">
        <w:rPr>
          <w:rFonts w:ascii="Times New Roman" w:hAnsi="Times New Roman" w:cs="Times New Roman"/>
          <w:sz w:val="22"/>
          <w:szCs w:val="22"/>
        </w:rPr>
        <w:t xml:space="preserve">Dépendance </w:t>
      </w:r>
      <w:r w:rsidRPr="005905D4">
        <w:rPr>
          <w:rFonts w:ascii="Times New Roman" w:hAnsi="Times New Roman" w:cs="Times New Roman"/>
          <w:i/>
          <w:sz w:val="22"/>
          <w:szCs w:val="22"/>
        </w:rPr>
        <w:t xml:space="preserve">à l’égard du monde extérieur </w:t>
      </w:r>
      <w:r w:rsidRPr="009C7D21">
        <w:rPr>
          <w:rFonts w:ascii="Times New Roman" w:hAnsi="Times New Roman" w:cs="Times New Roman"/>
          <w:sz w:val="22"/>
          <w:szCs w:val="22"/>
        </w:rPr>
        <w:t xml:space="preserve">(physique). </w:t>
      </w:r>
      <w:r w:rsidR="00E14A15" w:rsidRPr="009C7D21">
        <w:rPr>
          <w:rFonts w:ascii="Times New Roman" w:hAnsi="Times New Roman" w:cs="Times New Roman"/>
          <w:sz w:val="22"/>
          <w:szCs w:val="22"/>
        </w:rPr>
        <w:t>Argument de Putnam</w:t>
      </w:r>
      <w:r w:rsidR="00281001" w:rsidRPr="009C7D21">
        <w:rPr>
          <w:rFonts w:ascii="Times New Roman" w:hAnsi="Times New Roman" w:cs="Times New Roman"/>
          <w:sz w:val="22"/>
          <w:szCs w:val="22"/>
        </w:rPr>
        <w:t xml:space="preserve"> : nous appelons ‘eau’ et avons une certaine apparence pour l’H2O, sur </w:t>
      </w:r>
      <w:r w:rsidR="000172AD" w:rsidRPr="009C7D21">
        <w:rPr>
          <w:rFonts w:ascii="Times New Roman" w:hAnsi="Times New Roman" w:cs="Times New Roman"/>
          <w:sz w:val="22"/>
          <w:szCs w:val="22"/>
        </w:rPr>
        <w:t>Terre Jumelle</w:t>
      </w:r>
      <w:r w:rsidR="00281001" w:rsidRPr="009C7D21">
        <w:rPr>
          <w:rFonts w:ascii="Times New Roman" w:hAnsi="Times New Roman" w:cs="Times New Roman"/>
          <w:sz w:val="22"/>
          <w:szCs w:val="22"/>
        </w:rPr>
        <w:t xml:space="preserve"> nos jumeaux appellent ‘eau’ et ont la même apparence pour XYZ : le mot ‘eau’ n’a pas la même signification, et les gens ont des pensées différentes</w:t>
      </w:r>
      <w:r w:rsidR="000172AD" w:rsidRPr="009C7D21">
        <w:rPr>
          <w:rFonts w:ascii="Times New Roman" w:hAnsi="Times New Roman" w:cs="Times New Roman"/>
          <w:sz w:val="22"/>
          <w:szCs w:val="22"/>
        </w:rPr>
        <w:t xml:space="preserve">, </w:t>
      </w:r>
      <w:r w:rsidR="00281001" w:rsidRPr="009C7D21">
        <w:rPr>
          <w:rFonts w:ascii="Times New Roman" w:hAnsi="Times New Roman" w:cs="Times New Roman"/>
          <w:sz w:val="22"/>
          <w:szCs w:val="22"/>
        </w:rPr>
        <w:t xml:space="preserve">mais les mêmes </w:t>
      </w:r>
      <w:r w:rsidR="00281001" w:rsidRPr="009C7D21">
        <w:rPr>
          <w:rFonts w:ascii="Times New Roman" w:hAnsi="Times New Roman" w:cs="Times New Roman"/>
          <w:i/>
          <w:sz w:val="22"/>
          <w:szCs w:val="22"/>
        </w:rPr>
        <w:t xml:space="preserve">apparences : </w:t>
      </w:r>
      <w:r w:rsidR="000172AD" w:rsidRPr="009C7D21">
        <w:rPr>
          <w:rFonts w:ascii="Times New Roman" w:hAnsi="Times New Roman" w:cs="Times New Roman"/>
          <w:sz w:val="22"/>
          <w:szCs w:val="22"/>
        </w:rPr>
        <w:t>distinction des états étroits et des états larges</w:t>
      </w:r>
      <w:r w:rsidR="00281001" w:rsidRPr="009C7D21">
        <w:rPr>
          <w:rFonts w:ascii="Times New Roman" w:hAnsi="Times New Roman" w:cs="Times New Roman"/>
          <w:sz w:val="22"/>
          <w:szCs w:val="22"/>
        </w:rPr>
        <w:t xml:space="preserve"> </w:t>
      </w:r>
      <w:r w:rsidR="00FA4D58" w:rsidRPr="009C7D21">
        <w:rPr>
          <w:rFonts w:ascii="Times New Roman" w:hAnsi="Times New Roman" w:cs="Times New Roman"/>
          <w:sz w:val="22"/>
          <w:szCs w:val="22"/>
        </w:rPr>
        <w:t>(croyance vs croyance vraie, s’ennuyer vs connaître/apprendre, sentiment de jalousie vs jalousie ; apparences/idées vs connaissances)</w:t>
      </w:r>
    </w:p>
    <w:p w:rsidR="009C7D21" w:rsidRDefault="00E14A15" w:rsidP="009C7D21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9C7D21">
        <w:rPr>
          <w:rFonts w:ascii="Times New Roman" w:hAnsi="Times New Roman" w:cs="Times New Roman"/>
          <w:sz w:val="22"/>
          <w:szCs w:val="22"/>
        </w:rPr>
        <w:t xml:space="preserve">Le </w:t>
      </w:r>
      <w:r w:rsidRPr="009C7D21">
        <w:rPr>
          <w:rFonts w:ascii="Times New Roman" w:hAnsi="Times New Roman" w:cs="Times New Roman"/>
          <w:i/>
          <w:sz w:val="22"/>
          <w:szCs w:val="22"/>
        </w:rPr>
        <w:t>solipsisme méthodologique</w:t>
      </w:r>
      <w:r w:rsidRPr="009C7D2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C7D21">
        <w:rPr>
          <w:rFonts w:ascii="Times New Roman" w:hAnsi="Times New Roman" w:cs="Times New Roman"/>
          <w:sz w:val="22"/>
          <w:szCs w:val="22"/>
        </w:rPr>
        <w:t>Fodor</w:t>
      </w:r>
      <w:proofErr w:type="spellEnd"/>
      <w:r w:rsidRPr="009C7D21">
        <w:rPr>
          <w:rFonts w:ascii="Times New Roman" w:hAnsi="Times New Roman" w:cs="Times New Roman"/>
          <w:sz w:val="22"/>
          <w:szCs w:val="22"/>
        </w:rPr>
        <w:t>)</w:t>
      </w:r>
      <w:r w:rsidRPr="009C7D21">
        <w:rPr>
          <w:rFonts w:ascii="Times New Roman" w:hAnsi="Times New Roman" w:cs="Times New Roman"/>
          <w:i/>
          <w:sz w:val="22"/>
          <w:szCs w:val="22"/>
        </w:rPr>
        <w:t> </w:t>
      </w:r>
      <w:r w:rsidRPr="009C7D21">
        <w:rPr>
          <w:rFonts w:ascii="Times New Roman" w:hAnsi="Times New Roman" w:cs="Times New Roman"/>
          <w:sz w:val="22"/>
          <w:szCs w:val="22"/>
        </w:rPr>
        <w:t xml:space="preserve">: </w:t>
      </w:r>
      <w:r w:rsidR="000172AD" w:rsidRPr="009C7D21">
        <w:rPr>
          <w:rFonts w:ascii="Times New Roman" w:hAnsi="Times New Roman" w:cs="Times New Roman"/>
          <w:sz w:val="22"/>
          <w:szCs w:val="22"/>
        </w:rPr>
        <w:t xml:space="preserve">seuls les états étroits importent (rôle causal, indifférent à la </w:t>
      </w:r>
      <w:r w:rsidR="00FA4D58" w:rsidRPr="009C7D21">
        <w:rPr>
          <w:rFonts w:ascii="Times New Roman" w:hAnsi="Times New Roman" w:cs="Times New Roman"/>
          <w:sz w:val="22"/>
          <w:szCs w:val="22"/>
        </w:rPr>
        <w:t>vérité</w:t>
      </w:r>
      <w:r w:rsidR="000172AD" w:rsidRPr="009C7D21">
        <w:rPr>
          <w:rFonts w:ascii="Times New Roman" w:hAnsi="Times New Roman" w:cs="Times New Roman"/>
          <w:sz w:val="22"/>
          <w:szCs w:val="22"/>
        </w:rPr>
        <w:t>) + condition de formalité (indifférent au contenu)</w:t>
      </w:r>
      <w:r w:rsidR="00FA4D58" w:rsidRPr="009C7D21">
        <w:rPr>
          <w:rFonts w:ascii="Times New Roman" w:hAnsi="Times New Roman" w:cs="Times New Roman"/>
          <w:sz w:val="22"/>
          <w:szCs w:val="22"/>
        </w:rPr>
        <w:t> : pas de sémantique</w:t>
      </w:r>
    </w:p>
    <w:p w:rsidR="009C7D21" w:rsidRDefault="00281001" w:rsidP="009C7D21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281001">
        <w:rPr>
          <w:rFonts w:ascii="Times New Roman" w:hAnsi="Times New Roman" w:cs="Times New Roman"/>
          <w:sz w:val="22"/>
          <w:szCs w:val="22"/>
        </w:rPr>
        <w:t>Les trois galeries de tableaux : portraits (réalisme-externalisme), scènes de genre (cartésianisme</w:t>
      </w:r>
      <w:r>
        <w:rPr>
          <w:rFonts w:ascii="Times New Roman" w:hAnsi="Times New Roman" w:cs="Times New Roman"/>
          <w:sz w:val="22"/>
          <w:szCs w:val="22"/>
        </w:rPr>
        <w:t>-état étroit représentatif</w:t>
      </w:r>
      <w:r w:rsidRPr="00281001">
        <w:rPr>
          <w:rFonts w:ascii="Times New Roman" w:hAnsi="Times New Roman" w:cs="Times New Roman"/>
          <w:sz w:val="22"/>
          <w:szCs w:val="22"/>
        </w:rPr>
        <w:t>), peintures abstraites (cognitivisme</w:t>
      </w:r>
      <w:r>
        <w:rPr>
          <w:rFonts w:ascii="Times New Roman" w:hAnsi="Times New Roman" w:cs="Times New Roman"/>
          <w:sz w:val="22"/>
          <w:szCs w:val="22"/>
        </w:rPr>
        <w:t xml:space="preserve"> – état interne syntaxique</w:t>
      </w:r>
      <w:r w:rsidRPr="00281001">
        <w:rPr>
          <w:rFonts w:ascii="Times New Roman" w:hAnsi="Times New Roman" w:cs="Times New Roman"/>
          <w:sz w:val="22"/>
          <w:szCs w:val="22"/>
        </w:rPr>
        <w:t>)</w:t>
      </w:r>
    </w:p>
    <w:p w:rsidR="00FA4D58" w:rsidRPr="00FA4D58" w:rsidRDefault="00FA4D58" w:rsidP="009C7D21">
      <w:pPr>
        <w:spacing w:before="0"/>
        <w:ind w:left="284" w:firstLine="0"/>
        <w:rPr>
          <w:rFonts w:ascii="Times New Roman" w:hAnsi="Times New Roman" w:cs="Times New Roman"/>
          <w:sz w:val="22"/>
          <w:szCs w:val="22"/>
        </w:rPr>
      </w:pPr>
      <w:r w:rsidRPr="00FA4D58">
        <w:rPr>
          <w:rFonts w:ascii="Times New Roman" w:hAnsi="Times New Roman" w:cs="Times New Roman"/>
          <w:sz w:val="22"/>
          <w:szCs w:val="22"/>
        </w:rPr>
        <w:t xml:space="preserve">Mais un </w:t>
      </w:r>
      <w:r w:rsidRPr="00FA4D58">
        <w:rPr>
          <w:rFonts w:ascii="Times New Roman" w:hAnsi="Times New Roman" w:cs="Times New Roman"/>
          <w:i/>
          <w:sz w:val="22"/>
          <w:szCs w:val="22"/>
        </w:rPr>
        <w:t>concept</w:t>
      </w:r>
      <w:r w:rsidRPr="00FA4D58">
        <w:rPr>
          <w:rFonts w:ascii="Times New Roman" w:hAnsi="Times New Roman" w:cs="Times New Roman"/>
          <w:sz w:val="22"/>
          <w:szCs w:val="22"/>
        </w:rPr>
        <w:t xml:space="preserve"> n’est pas une </w:t>
      </w:r>
      <w:r w:rsidRPr="00FA4D58">
        <w:rPr>
          <w:rFonts w:ascii="Times New Roman" w:hAnsi="Times New Roman" w:cs="Times New Roman"/>
          <w:i/>
          <w:sz w:val="22"/>
          <w:szCs w:val="22"/>
        </w:rPr>
        <w:t>idée,</w:t>
      </w:r>
      <w:r w:rsidRPr="00FA4D58">
        <w:rPr>
          <w:rFonts w:ascii="Times New Roman" w:hAnsi="Times New Roman" w:cs="Times New Roman"/>
          <w:sz w:val="22"/>
          <w:szCs w:val="22"/>
        </w:rPr>
        <w:t xml:space="preserve"> même </w:t>
      </w:r>
      <w:r w:rsidRPr="00FA4D58">
        <w:rPr>
          <w:rFonts w:ascii="Times New Roman" w:hAnsi="Times New Roman" w:cs="Times New Roman"/>
          <w:i/>
          <w:sz w:val="22"/>
          <w:szCs w:val="22"/>
        </w:rPr>
        <w:t>vraie</w:t>
      </w:r>
      <w:r w:rsidRPr="00FA4D58">
        <w:rPr>
          <w:rFonts w:ascii="Times New Roman" w:hAnsi="Times New Roman" w:cs="Times New Roman"/>
          <w:sz w:val="22"/>
          <w:szCs w:val="22"/>
        </w:rPr>
        <w:t xml:space="preserve">, c’est une </w:t>
      </w:r>
      <w:r w:rsidRPr="00FA4D58">
        <w:rPr>
          <w:rFonts w:ascii="Times New Roman" w:hAnsi="Times New Roman" w:cs="Times New Roman"/>
          <w:i/>
          <w:sz w:val="22"/>
          <w:szCs w:val="22"/>
        </w:rPr>
        <w:t>capacité</w:t>
      </w:r>
      <w:r w:rsidRPr="00FA4D58">
        <w:rPr>
          <w:rFonts w:ascii="Times New Roman" w:hAnsi="Times New Roman" w:cs="Times New Roman"/>
          <w:sz w:val="22"/>
          <w:szCs w:val="22"/>
        </w:rPr>
        <w:t xml:space="preserve"> (de faire, parler, reconnaître, etc.)</w:t>
      </w:r>
      <w:r w:rsidR="009C7D2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C7D21" w:rsidRDefault="009C7D21" w:rsidP="009C7D21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FA4D58" w:rsidRPr="00FA4D58">
        <w:rPr>
          <w:rFonts w:ascii="Times New Roman" w:hAnsi="Times New Roman" w:cs="Times New Roman"/>
          <w:sz w:val="22"/>
          <w:szCs w:val="22"/>
        </w:rPr>
        <w:t>D</w:t>
      </w:r>
      <w:r w:rsidR="00E14A15" w:rsidRPr="00FA4D58">
        <w:rPr>
          <w:rFonts w:ascii="Times New Roman" w:hAnsi="Times New Roman" w:cs="Times New Roman"/>
          <w:sz w:val="22"/>
          <w:szCs w:val="22"/>
        </w:rPr>
        <w:t xml:space="preserve">épendance du contenu </w:t>
      </w:r>
      <w:r w:rsidR="00E14A15" w:rsidRPr="005905D4">
        <w:rPr>
          <w:rFonts w:ascii="Times New Roman" w:hAnsi="Times New Roman" w:cs="Times New Roman"/>
          <w:i/>
          <w:sz w:val="22"/>
          <w:szCs w:val="22"/>
        </w:rPr>
        <w:t>à l’égard de la société</w:t>
      </w:r>
      <w:r w:rsidR="00E14A15" w:rsidRPr="00FA4D58">
        <w:rPr>
          <w:rFonts w:ascii="Times New Roman" w:hAnsi="Times New Roman" w:cs="Times New Roman"/>
          <w:sz w:val="22"/>
          <w:szCs w:val="22"/>
        </w:rPr>
        <w:t xml:space="preserve"> (histoire et normes) : l’homme de Cro-Magnon frappé par la foudre de sorte que ses états internes soient ceux de celui qui pense « je vais à la banque »</w:t>
      </w:r>
    </w:p>
    <w:p w:rsidR="005905D4" w:rsidRDefault="009C7D21" w:rsidP="009C7D21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Remet en cause l</w:t>
      </w:r>
      <w:r w:rsidR="00281001">
        <w:rPr>
          <w:rFonts w:ascii="Times New Roman" w:hAnsi="Times New Roman" w:cs="Times New Roman"/>
          <w:sz w:val="22"/>
          <w:szCs w:val="22"/>
        </w:rPr>
        <w:t xml:space="preserve">e principe de </w:t>
      </w:r>
      <w:r w:rsidR="00281001">
        <w:rPr>
          <w:rFonts w:ascii="Times New Roman" w:hAnsi="Times New Roman" w:cs="Times New Roman"/>
          <w:i/>
          <w:sz w:val="22"/>
          <w:szCs w:val="22"/>
        </w:rPr>
        <w:t>survenance</w:t>
      </w:r>
      <w:r w:rsidR="00281001">
        <w:rPr>
          <w:rFonts w:ascii="Times New Roman" w:hAnsi="Times New Roman" w:cs="Times New Roman"/>
          <w:sz w:val="22"/>
          <w:szCs w:val="22"/>
        </w:rPr>
        <w:t xml:space="preserve"> du mental sur le physique</w:t>
      </w:r>
      <w:r w:rsidR="005905D4">
        <w:rPr>
          <w:rFonts w:ascii="Times New Roman" w:hAnsi="Times New Roman" w:cs="Times New Roman"/>
          <w:sz w:val="22"/>
          <w:szCs w:val="22"/>
        </w:rPr>
        <w:t xml:space="preserve"> (un événement de type B survient sur un événement de type A = si deux </w:t>
      </w:r>
      <w:r w:rsidR="005905D4">
        <w:rPr>
          <w:rFonts w:ascii="Times New Roman" w:hAnsi="Times New Roman" w:cs="Times New Roman"/>
          <w:i/>
          <w:sz w:val="22"/>
          <w:szCs w:val="22"/>
        </w:rPr>
        <w:t>x et 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905D4">
        <w:rPr>
          <w:rFonts w:ascii="Times New Roman" w:hAnsi="Times New Roman" w:cs="Times New Roman"/>
          <w:sz w:val="22"/>
          <w:szCs w:val="22"/>
        </w:rPr>
        <w:t xml:space="preserve">diffèrent selon B, il y a une différence selon A, mais l’inverse n’est pas nécessaire ; sinon : </w:t>
      </w:r>
      <w:proofErr w:type="spellStart"/>
      <w:r w:rsidR="005905D4">
        <w:rPr>
          <w:rFonts w:ascii="Times New Roman" w:hAnsi="Times New Roman" w:cs="Times New Roman"/>
          <w:sz w:val="22"/>
          <w:szCs w:val="22"/>
        </w:rPr>
        <w:t>épiphénoménalisme</w:t>
      </w:r>
      <w:proofErr w:type="spellEnd"/>
      <w:r w:rsidR="005905D4">
        <w:rPr>
          <w:rFonts w:ascii="Times New Roman" w:hAnsi="Times New Roman" w:cs="Times New Roman"/>
          <w:sz w:val="22"/>
          <w:szCs w:val="22"/>
        </w:rPr>
        <w:t>)</w:t>
      </w:r>
    </w:p>
    <w:p w:rsidR="00281001" w:rsidRDefault="005905D4" w:rsidP="009C7D21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281001">
        <w:rPr>
          <w:rFonts w:ascii="Times New Roman" w:hAnsi="Times New Roman" w:cs="Times New Roman"/>
          <w:sz w:val="22"/>
          <w:szCs w:val="22"/>
        </w:rPr>
        <w:t xml:space="preserve">l faudrait que l’état physique (XYZ) soit </w:t>
      </w:r>
      <w:r w:rsidR="00281001" w:rsidRPr="00281001">
        <w:rPr>
          <w:rFonts w:ascii="Times New Roman" w:hAnsi="Times New Roman" w:cs="Times New Roman"/>
          <w:i/>
          <w:sz w:val="22"/>
          <w:szCs w:val="22"/>
        </w:rPr>
        <w:t>suffisant</w:t>
      </w:r>
      <w:r w:rsidR="00281001">
        <w:rPr>
          <w:rFonts w:ascii="Times New Roman" w:hAnsi="Times New Roman" w:cs="Times New Roman"/>
          <w:sz w:val="22"/>
          <w:szCs w:val="22"/>
        </w:rPr>
        <w:t xml:space="preserve"> pour que le sujet ait tel état mental (contenu), mais </w:t>
      </w:r>
      <w:r w:rsidR="009C7D21">
        <w:rPr>
          <w:rFonts w:ascii="Times New Roman" w:hAnsi="Times New Roman" w:cs="Times New Roman"/>
          <w:sz w:val="22"/>
          <w:szCs w:val="22"/>
        </w:rPr>
        <w:t xml:space="preserve">(en raison de l’argument précédent : Cro-Magnon) </w:t>
      </w:r>
      <w:r w:rsidR="00281001">
        <w:rPr>
          <w:rFonts w:ascii="Times New Roman" w:hAnsi="Times New Roman" w:cs="Times New Roman"/>
          <w:sz w:val="22"/>
          <w:szCs w:val="22"/>
        </w:rPr>
        <w:t xml:space="preserve">on peut seulement mettre en évidence des conditions </w:t>
      </w:r>
      <w:r w:rsidR="00281001">
        <w:rPr>
          <w:rFonts w:ascii="Times New Roman" w:hAnsi="Times New Roman" w:cs="Times New Roman"/>
          <w:i/>
          <w:sz w:val="22"/>
          <w:szCs w:val="22"/>
        </w:rPr>
        <w:t>nécessaires</w:t>
      </w:r>
      <w:r w:rsidR="009C7D2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81001">
        <w:rPr>
          <w:rFonts w:ascii="Times New Roman" w:hAnsi="Times New Roman" w:cs="Times New Roman"/>
          <w:sz w:val="22"/>
          <w:szCs w:val="22"/>
        </w:rPr>
        <w:t>(pour autant que nous le sachions)</w:t>
      </w:r>
    </w:p>
    <w:p w:rsidR="009C7D21" w:rsidRDefault="009C7D21" w:rsidP="005905D4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Distinguer une </w:t>
      </w:r>
      <w:r>
        <w:rPr>
          <w:rFonts w:ascii="Times New Roman" w:hAnsi="Times New Roman" w:cs="Times New Roman"/>
          <w:i/>
          <w:sz w:val="22"/>
          <w:szCs w:val="22"/>
        </w:rPr>
        <w:t>capacité</w:t>
      </w:r>
      <w:r>
        <w:rPr>
          <w:rFonts w:ascii="Times New Roman" w:hAnsi="Times New Roman" w:cs="Times New Roman"/>
          <w:sz w:val="22"/>
          <w:szCs w:val="22"/>
        </w:rPr>
        <w:t xml:space="preserve"> (de parler) de son exercice (acte de parole), de son véhicule (gorge-langue), et de ses conditions (matérielles). Le cerveau comme condition</w:t>
      </w:r>
    </w:p>
    <w:p w:rsidR="005905D4" w:rsidRDefault="005905D4" w:rsidP="005905D4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Survenance : irréductibilité aux propriétés intrinsèques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(la bravoure survient sur tel comportement, dans telles circonstances, avec telle histoire, etc. ; l’achat survient sur tels gestes avec telle histoire)</w:t>
      </w:r>
    </w:p>
    <w:p w:rsidR="000A4670" w:rsidRPr="00FA4D58" w:rsidRDefault="000A4670" w:rsidP="005905D4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0A4670" w:rsidRPr="00FA4D58" w:rsidSect="000172A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E3E"/>
    <w:multiLevelType w:val="hybridMultilevel"/>
    <w:tmpl w:val="1A7EBF3A"/>
    <w:lvl w:ilvl="0" w:tplc="DE1C8516">
      <w:start w:val="2"/>
      <w:numFmt w:val="bullet"/>
      <w:lvlText w:val="-"/>
      <w:lvlJc w:val="left"/>
      <w:pPr>
        <w:ind w:left="724" w:hanging="44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15"/>
    <w:rsid w:val="000172AD"/>
    <w:rsid w:val="000A4670"/>
    <w:rsid w:val="00281001"/>
    <w:rsid w:val="00515779"/>
    <w:rsid w:val="005905D4"/>
    <w:rsid w:val="005910FA"/>
    <w:rsid w:val="009C7D21"/>
    <w:rsid w:val="00C4084C"/>
    <w:rsid w:val="00E14A15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9F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15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14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15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1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1229</Words>
  <Characters>6764</Characters>
  <Application>Microsoft Macintosh Word</Application>
  <DocSecurity>0</DocSecurity>
  <Lines>56</Lines>
  <Paragraphs>15</Paragraphs>
  <ScaleCrop>false</ScaleCrop>
  <Company>Université de Nantes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2014-02-27T10:16:00Z</cp:lastPrinted>
  <dcterms:created xsi:type="dcterms:W3CDTF">2014-02-27T09:12:00Z</dcterms:created>
  <dcterms:modified xsi:type="dcterms:W3CDTF">2014-02-27T10:17:00Z</dcterms:modified>
</cp:coreProperties>
</file>