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3EDA68" w14:textId="77777777" w:rsidR="00E000E3" w:rsidRPr="00E000E3" w:rsidRDefault="00E000E3" w:rsidP="00E000E3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i/>
        </w:rPr>
      </w:pPr>
      <w:r>
        <w:rPr>
          <w:rFonts w:ascii="Times" w:hAnsi="Times" w:cs="Times"/>
          <w:b/>
          <w:bCs/>
        </w:rPr>
        <w:t xml:space="preserve">Andy Hamilton, </w:t>
      </w:r>
      <w:r>
        <w:rPr>
          <w:rFonts w:ascii="Times" w:hAnsi="Times" w:cs="Times"/>
          <w:b/>
          <w:bCs/>
          <w:i/>
        </w:rPr>
        <w:t>The Self in Question. Memory, The Body and Self Consciousness</w:t>
      </w:r>
    </w:p>
    <w:p w14:paraId="0C4DA286" w14:textId="77777777" w:rsidR="00E000E3" w:rsidRDefault="00E000E3" w:rsidP="00E000E3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  <w:b/>
          <w:bCs/>
        </w:rPr>
        <w:t xml:space="preserve">Introduction  </w:t>
      </w:r>
    </w:p>
    <w:p w14:paraId="1960A0E2" w14:textId="77777777" w:rsidR="00E000E3" w:rsidRDefault="00E000E3" w:rsidP="00E000E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  <w:b/>
          <w:bCs/>
        </w:rPr>
        <w:t xml:space="preserve">1  Self-Consciousness and Its Linguistic Expression </w:t>
      </w:r>
    </w:p>
    <w:p w14:paraId="2B08CC67" w14:textId="77777777" w:rsidR="00E000E3" w:rsidRDefault="00E000E3" w:rsidP="00E000E3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ind w:left="284"/>
        <w:rPr>
          <w:rFonts w:ascii="Times" w:hAnsi="Times" w:cs="Times"/>
        </w:rPr>
      </w:pPr>
      <w:r>
        <w:rPr>
          <w:rFonts w:ascii="Times" w:hAnsi="Times" w:cs="Times"/>
        </w:rPr>
        <w:t>1.1  A two-part elucidation of self-consciousness:  self-reference and the grounds of self-knowledge  </w:t>
      </w:r>
    </w:p>
    <w:p w14:paraId="0B965E24" w14:textId="77777777" w:rsidR="00E000E3" w:rsidRDefault="00E000E3" w:rsidP="00E000E3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ind w:left="284"/>
        <w:rPr>
          <w:rFonts w:ascii="Times" w:hAnsi="Times" w:cs="Times"/>
        </w:rPr>
      </w:pPr>
      <w:r>
        <w:rPr>
          <w:rFonts w:ascii="Times" w:hAnsi="Times" w:cs="Times"/>
        </w:rPr>
        <w:t>1.2  Self-consciousness and conceptual holisms  </w:t>
      </w:r>
    </w:p>
    <w:p w14:paraId="22A652F0" w14:textId="77777777" w:rsidR="00E000E3" w:rsidRDefault="00E000E3" w:rsidP="00E000E3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ind w:left="284"/>
        <w:rPr>
          <w:rFonts w:ascii="Times" w:hAnsi="Times" w:cs="Times"/>
        </w:rPr>
      </w:pPr>
      <w:r>
        <w:rPr>
          <w:rFonts w:ascii="Times" w:hAnsi="Times" w:cs="Times"/>
        </w:rPr>
        <w:t>1.3  Ability holism and the circularity of the  self-reference rule  </w:t>
      </w:r>
    </w:p>
    <w:p w14:paraId="61C87C14" w14:textId="77777777" w:rsidR="00E000E3" w:rsidRDefault="00E000E3" w:rsidP="00E000E3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ind w:left="284"/>
        <w:rPr>
          <w:rFonts w:ascii="Times" w:hAnsi="Times" w:cs="Times"/>
        </w:rPr>
      </w:pPr>
      <w:r>
        <w:rPr>
          <w:rFonts w:ascii="Times" w:hAnsi="Times" w:cs="Times"/>
        </w:rPr>
        <w:t>1.4  Self-conscious self-reference and indexicality:  the name-user scenario  </w:t>
      </w:r>
    </w:p>
    <w:p w14:paraId="634D02A0" w14:textId="77777777" w:rsidR="00E000E3" w:rsidRDefault="00E000E3" w:rsidP="00E000E3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ind w:left="284"/>
        <w:rPr>
          <w:rFonts w:ascii="Times" w:hAnsi="Times" w:cs="Times"/>
        </w:rPr>
      </w:pPr>
      <w:r>
        <w:rPr>
          <w:rFonts w:ascii="Times" w:hAnsi="Times" w:cs="Times"/>
        </w:rPr>
        <w:t>1.5  Implications of the name-user scenario  </w:t>
      </w:r>
    </w:p>
    <w:p w14:paraId="1C6A9B87" w14:textId="77777777" w:rsidR="00E000E3" w:rsidRDefault="00E000E3" w:rsidP="00E000E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  <w:b/>
          <w:bCs/>
        </w:rPr>
        <w:t xml:space="preserve">2  Memory and Self-Consciousness (1): Immunity  to Error through Misidentification and the  Critique of Quasi-Memory </w:t>
      </w:r>
    </w:p>
    <w:p w14:paraId="40DD56FF" w14:textId="77777777" w:rsidR="00E000E3" w:rsidRDefault="00E000E3" w:rsidP="00E000E3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ind w:left="284"/>
        <w:rPr>
          <w:rFonts w:ascii="Times" w:hAnsi="Times" w:cs="Times"/>
        </w:rPr>
      </w:pPr>
      <w:r>
        <w:rPr>
          <w:rFonts w:ascii="Times" w:hAnsi="Times" w:cs="Times"/>
        </w:rPr>
        <w:t>2.1  The epistemology of self-consciousness: “I”-as-subject  and autobiographical memory  </w:t>
      </w:r>
    </w:p>
    <w:p w14:paraId="065F3D05" w14:textId="77777777" w:rsidR="00E000E3" w:rsidRDefault="00E000E3" w:rsidP="00E000E3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ind w:left="284"/>
        <w:rPr>
          <w:rFonts w:ascii="Times" w:hAnsi="Times" w:cs="Times"/>
        </w:rPr>
      </w:pPr>
      <w:r>
        <w:rPr>
          <w:rFonts w:ascii="Times" w:hAnsi="Times" w:cs="Times"/>
        </w:rPr>
        <w:t>2.2  Memory-based immunity to error and the  nature of personal memory  </w:t>
      </w:r>
    </w:p>
    <w:p w14:paraId="0EB4AE21" w14:textId="77777777" w:rsidR="00E000E3" w:rsidRDefault="00E000E3" w:rsidP="00E000E3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ind w:left="284"/>
        <w:rPr>
          <w:rFonts w:ascii="Times" w:hAnsi="Times" w:cs="Times"/>
        </w:rPr>
      </w:pPr>
      <w:r>
        <w:rPr>
          <w:rFonts w:ascii="Times" w:hAnsi="Times" w:cs="Times"/>
        </w:rPr>
        <w:t>2.3  Justification of the immunity and its significance  for self-consciousness  </w:t>
      </w:r>
    </w:p>
    <w:p w14:paraId="4488DC23" w14:textId="77777777" w:rsidR="00E000E3" w:rsidRDefault="00E000E3" w:rsidP="00E000E3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ind w:left="284"/>
        <w:rPr>
          <w:rFonts w:ascii="Times" w:hAnsi="Times" w:cs="Times"/>
        </w:rPr>
      </w:pPr>
      <w:r>
        <w:rPr>
          <w:rFonts w:ascii="Times" w:hAnsi="Times" w:cs="Times"/>
        </w:rPr>
        <w:t>2.4  Objections to the immunity: from misremembering  </w:t>
      </w:r>
    </w:p>
    <w:p w14:paraId="517214BD" w14:textId="77777777" w:rsidR="00E000E3" w:rsidRDefault="00E000E3" w:rsidP="00E000E3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ind w:left="284"/>
        <w:rPr>
          <w:rFonts w:ascii="Times" w:hAnsi="Times" w:cs="Times"/>
        </w:rPr>
      </w:pPr>
      <w:r>
        <w:rPr>
          <w:rFonts w:ascii="Times" w:hAnsi="Times" w:cs="Times"/>
        </w:rPr>
        <w:t>2.5  Objections to the immunity: from q-memory  </w:t>
      </w:r>
    </w:p>
    <w:p w14:paraId="20927153" w14:textId="77777777" w:rsidR="00E000E3" w:rsidRDefault="00E000E3" w:rsidP="00E000E3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ind w:left="284"/>
        <w:rPr>
          <w:rFonts w:ascii="Times" w:hAnsi="Times" w:cs="Times"/>
        </w:rPr>
      </w:pPr>
      <w:r>
        <w:rPr>
          <w:rFonts w:ascii="Times" w:hAnsi="Times" w:cs="Times"/>
        </w:rPr>
        <w:t>2.6  Rejecting q-memory: concepts of information  </w:t>
      </w:r>
    </w:p>
    <w:p w14:paraId="2D124EC0" w14:textId="77777777" w:rsidR="00E000E3" w:rsidRDefault="00E000E3" w:rsidP="00E000E3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ind w:left="284"/>
        <w:rPr>
          <w:rFonts w:ascii="Times" w:hAnsi="Times" w:cs="Times"/>
        </w:rPr>
      </w:pPr>
      <w:r>
        <w:rPr>
          <w:rFonts w:ascii="Times" w:hAnsi="Times" w:cs="Times"/>
        </w:rPr>
        <w:t>2.7  Rejecting a more conservative presentation of q-memory  </w:t>
      </w:r>
    </w:p>
    <w:p w14:paraId="3263EE2C" w14:textId="77777777" w:rsidR="00E000E3" w:rsidRDefault="00E000E3" w:rsidP="00E000E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  <w:b/>
          <w:bCs/>
        </w:rPr>
        <w:t>3  Memory and Self-Consciousness (2): The Conceptual  Holism of Memory and Personal Identity</w:t>
      </w:r>
      <w:proofErr w:type="gramStart"/>
      <w:r>
        <w:rPr>
          <w:rFonts w:ascii="Times" w:hAnsi="Times" w:cs="Times"/>
          <w:b/>
          <w:bCs/>
        </w:rPr>
        <w:t>, </w:t>
      </w:r>
      <w:proofErr w:type="gramEnd"/>
      <w:r>
        <w:rPr>
          <w:rFonts w:ascii="Times" w:hAnsi="Times" w:cs="Times"/>
          <w:b/>
          <w:bCs/>
        </w:rPr>
        <w:t xml:space="preserve"> and the Unity of Consciousness </w:t>
      </w:r>
    </w:p>
    <w:p w14:paraId="3EB4E055" w14:textId="77777777" w:rsidR="00E000E3" w:rsidRDefault="00E000E3" w:rsidP="00E000E3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ind w:left="284"/>
        <w:rPr>
          <w:rFonts w:ascii="Times" w:hAnsi="Times" w:cs="Times"/>
        </w:rPr>
      </w:pPr>
      <w:r>
        <w:rPr>
          <w:rFonts w:ascii="Times" w:hAnsi="Times" w:cs="Times"/>
        </w:rPr>
        <w:t>3.1  The objection that the immunity to error is artefactual  </w:t>
      </w:r>
    </w:p>
    <w:p w14:paraId="3C0EE842" w14:textId="77777777" w:rsidR="00E000E3" w:rsidRDefault="00E000E3" w:rsidP="00E000E3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ind w:left="284"/>
        <w:rPr>
          <w:rFonts w:ascii="Times" w:hAnsi="Times" w:cs="Times"/>
        </w:rPr>
      </w:pPr>
      <w:r>
        <w:rPr>
          <w:rFonts w:ascii="Times" w:hAnsi="Times" w:cs="Times"/>
        </w:rPr>
        <w:t>3.2  Future-tense immunity to error  </w:t>
      </w:r>
    </w:p>
    <w:p w14:paraId="22F0FB7A" w14:textId="77777777" w:rsidR="00E000E3" w:rsidRDefault="00E000E3" w:rsidP="00E000E3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ind w:left="284"/>
        <w:rPr>
          <w:rFonts w:ascii="Times" w:hAnsi="Times" w:cs="Times"/>
        </w:rPr>
      </w:pPr>
      <w:r>
        <w:rPr>
          <w:rFonts w:ascii="Times" w:hAnsi="Times" w:cs="Times"/>
        </w:rPr>
        <w:t>3.3  The objection that the error is artefactual – continued  </w:t>
      </w:r>
    </w:p>
    <w:p w14:paraId="11EC4673" w14:textId="77777777" w:rsidR="00E000E3" w:rsidRDefault="00E000E3" w:rsidP="00E000E3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ind w:left="284"/>
        <w:rPr>
          <w:rFonts w:ascii="Times" w:hAnsi="Times" w:cs="Times"/>
        </w:rPr>
      </w:pPr>
      <w:r>
        <w:rPr>
          <w:rFonts w:ascii="Times" w:hAnsi="Times" w:cs="Times"/>
        </w:rPr>
        <w:t>3.4  IEM, personal identity, and conceptual holisms  </w:t>
      </w:r>
    </w:p>
    <w:p w14:paraId="30575610" w14:textId="77777777" w:rsidR="00E000E3" w:rsidRDefault="00E000E3" w:rsidP="00E000E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284"/>
        <w:rPr>
          <w:rFonts w:ascii="Times" w:hAnsi="Times" w:cs="Times"/>
        </w:rPr>
      </w:pPr>
      <w:r>
        <w:rPr>
          <w:rFonts w:ascii="Times" w:hAnsi="Times" w:cs="Times"/>
        </w:rPr>
        <w:t>3.5  The circularity objection, no-priority explanation</w:t>
      </w:r>
      <w:proofErr w:type="gramStart"/>
      <w:r>
        <w:rPr>
          <w:rFonts w:ascii="Times" w:hAnsi="Times" w:cs="Times"/>
        </w:rPr>
        <w:t>, </w:t>
      </w:r>
      <w:proofErr w:type="gramEnd"/>
      <w:r>
        <w:rPr>
          <w:rFonts w:ascii="Times" w:hAnsi="Times" w:cs="Times"/>
        </w:rPr>
        <w:t>and the holism of memory and personal identity  </w:t>
      </w:r>
    </w:p>
    <w:p w14:paraId="218D64B4" w14:textId="77777777" w:rsidR="00E000E3" w:rsidRDefault="00E000E3" w:rsidP="00E000E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284"/>
        <w:rPr>
          <w:rFonts w:ascii="Times" w:hAnsi="Times" w:cs="Times"/>
        </w:rPr>
      </w:pPr>
      <w:r>
        <w:rPr>
          <w:rFonts w:ascii="Times" w:hAnsi="Times" w:cs="Times"/>
        </w:rPr>
        <w:t>3.6  The unity of consciousness versus the unitary self: </w:t>
      </w:r>
      <w:r w:rsidR="00787A9A">
        <w:rPr>
          <w:rFonts w:ascii="Times" w:hAnsi="Times" w:cs="Times"/>
        </w:rPr>
        <w:t xml:space="preserve"> </w:t>
      </w:r>
      <w:bookmarkStart w:id="0" w:name="_GoBack"/>
      <w:bookmarkEnd w:id="0"/>
      <w:r>
        <w:rPr>
          <w:rFonts w:ascii="Times" w:hAnsi="Times" w:cs="Times"/>
        </w:rPr>
        <w:t>Kantian origins of the dialectic  </w:t>
      </w:r>
    </w:p>
    <w:p w14:paraId="485D0C68" w14:textId="77777777" w:rsidR="00E000E3" w:rsidRDefault="00E000E3" w:rsidP="00E000E3">
      <w:pPr>
        <w:widowControl w:val="0"/>
        <w:autoSpaceDE w:val="0"/>
        <w:autoSpaceDN w:val="0"/>
        <w:adjustRightInd w:val="0"/>
        <w:ind w:left="284"/>
        <w:rPr>
          <w:rFonts w:ascii="Times" w:hAnsi="Times" w:cs="Times"/>
        </w:rPr>
      </w:pPr>
      <w:r>
        <w:rPr>
          <w:rFonts w:ascii="Times" w:hAnsi="Times" w:cs="Times"/>
        </w:rPr>
        <w:t xml:space="preserve">Appendix: De Gaynesford’s critique of IEM as a  merely pragmatic phenomenon </w:t>
      </w:r>
    </w:p>
    <w:p w14:paraId="34B1C268" w14:textId="77777777" w:rsidR="00E000E3" w:rsidRDefault="00E000E3" w:rsidP="00E000E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  <w:b/>
          <w:bCs/>
        </w:rPr>
        <w:t xml:space="preserve">4  Proprioception and Self-Consciousness (1): Proprioception  as Direct, Immediate Knowledge of the Body </w:t>
      </w:r>
    </w:p>
    <w:p w14:paraId="227BD458" w14:textId="77777777" w:rsidR="00E000E3" w:rsidRDefault="00E000E3" w:rsidP="00E000E3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ind w:left="284"/>
        <w:rPr>
          <w:rFonts w:ascii="Times" w:hAnsi="Times" w:cs="Times"/>
        </w:rPr>
      </w:pPr>
      <w:r>
        <w:rPr>
          <w:rFonts w:ascii="Times" w:hAnsi="Times" w:cs="Times"/>
        </w:rPr>
        <w:t>4.1  The Phenomenological challenge to materialism  about the body  </w:t>
      </w:r>
    </w:p>
    <w:p w14:paraId="038DEF2B" w14:textId="77777777" w:rsidR="00E000E3" w:rsidRDefault="00E000E3" w:rsidP="00E000E3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ind w:left="284"/>
        <w:rPr>
          <w:rFonts w:ascii="Times" w:hAnsi="Times" w:cs="Times"/>
        </w:rPr>
      </w:pPr>
      <w:r>
        <w:rPr>
          <w:rFonts w:ascii="Times" w:hAnsi="Times" w:cs="Times"/>
        </w:rPr>
        <w:t>4.2  Proprioception as direct, non-inferential knowledge:  rejecting the image theory  </w:t>
      </w:r>
    </w:p>
    <w:p w14:paraId="771CE4C3" w14:textId="77777777" w:rsidR="00E000E3" w:rsidRDefault="00E000E3" w:rsidP="00E000E3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ind w:left="284"/>
        <w:rPr>
          <w:rFonts w:ascii="Times" w:hAnsi="Times" w:cs="Times"/>
        </w:rPr>
      </w:pPr>
      <w:r>
        <w:rPr>
          <w:rFonts w:ascii="Times" w:hAnsi="Times" w:cs="Times"/>
        </w:rPr>
        <w:t>4.3  Proprioception as direct, immediate knowledge:  rejecting the perceptual model  </w:t>
      </w:r>
    </w:p>
    <w:p w14:paraId="2A810A1F" w14:textId="77777777" w:rsidR="00E000E3" w:rsidRDefault="00E000E3" w:rsidP="00E000E3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ind w:left="284"/>
        <w:rPr>
          <w:rFonts w:ascii="Times" w:hAnsi="Times" w:cs="Times"/>
        </w:rPr>
      </w:pPr>
      <w:r>
        <w:rPr>
          <w:rFonts w:ascii="Times" w:hAnsi="Times" w:cs="Times"/>
        </w:rPr>
        <w:t>4.4  Gibsonian and other considerations against the  perceptual model  </w:t>
      </w:r>
    </w:p>
    <w:p w14:paraId="336E15B6" w14:textId="77777777" w:rsidR="00E000E3" w:rsidRDefault="00E000E3" w:rsidP="00E000E3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ind w:left="284"/>
        <w:rPr>
          <w:rFonts w:ascii="Times" w:hAnsi="Times" w:cs="Times"/>
        </w:rPr>
      </w:pPr>
      <w:r>
        <w:rPr>
          <w:rFonts w:ascii="Times" w:hAnsi="Times" w:cs="Times"/>
        </w:rPr>
        <w:lastRenderedPageBreak/>
        <w:t>4.5  Proprioception and agency  </w:t>
      </w:r>
    </w:p>
    <w:p w14:paraId="2143C7C7" w14:textId="77777777" w:rsidR="00E000E3" w:rsidRDefault="00E000E3" w:rsidP="00E000E3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ind w:left="284"/>
        <w:rPr>
          <w:rFonts w:ascii="Times" w:hAnsi="Times" w:cs="Times"/>
        </w:rPr>
      </w:pPr>
      <w:r>
        <w:rPr>
          <w:rFonts w:ascii="Times" w:hAnsi="Times" w:cs="Times"/>
        </w:rPr>
        <w:t>4.6  IEM and q-proprioception  </w:t>
      </w:r>
    </w:p>
    <w:p w14:paraId="4053DCE8" w14:textId="77777777" w:rsidR="00E000E3" w:rsidRDefault="00E000E3" w:rsidP="00E000E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  <w:b/>
          <w:bCs/>
        </w:rPr>
        <w:t xml:space="preserve">5  Proprioception and Self-Consciousness (2): Self-Conscious Knowledge and the Rejection of Self-Presentation </w:t>
      </w:r>
    </w:p>
    <w:p w14:paraId="6C4E9249" w14:textId="77777777" w:rsidR="00E000E3" w:rsidRDefault="00E000E3" w:rsidP="00E000E3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ind w:left="284"/>
        <w:rPr>
          <w:rFonts w:ascii="Times" w:hAnsi="Times" w:cs="Times"/>
        </w:rPr>
      </w:pPr>
      <w:r>
        <w:rPr>
          <w:rFonts w:ascii="Times" w:hAnsi="Times" w:cs="Times"/>
        </w:rPr>
        <w:t>5.1  Self-conscious knowledge versus materialism concerning  bodily identity  </w:t>
      </w:r>
    </w:p>
    <w:p w14:paraId="1D4EEAD7" w14:textId="77777777" w:rsidR="00E000E3" w:rsidRDefault="00E000E3" w:rsidP="00E000E3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ind w:left="284"/>
        <w:rPr>
          <w:rFonts w:ascii="Times" w:hAnsi="Times" w:cs="Times"/>
        </w:rPr>
      </w:pPr>
      <w:r>
        <w:rPr>
          <w:rFonts w:ascii="Times" w:hAnsi="Times" w:cs="Times"/>
        </w:rPr>
        <w:t>5.2  Rejecting materialism concerning bodily identity and  limb-ownership  </w:t>
      </w:r>
    </w:p>
    <w:p w14:paraId="7793F85E" w14:textId="77777777" w:rsidR="00E000E3" w:rsidRDefault="00E000E3" w:rsidP="00E000E3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ind w:left="284"/>
        <w:rPr>
          <w:rFonts w:ascii="Times" w:hAnsi="Times" w:cs="Times"/>
        </w:rPr>
      </w:pPr>
      <w:r>
        <w:rPr>
          <w:rFonts w:ascii="Times" w:hAnsi="Times" w:cs="Times"/>
        </w:rPr>
        <w:t>5.3  Self-presentation versus elusiveness  </w:t>
      </w:r>
    </w:p>
    <w:p w14:paraId="02AC2C2F" w14:textId="77777777" w:rsidR="00E000E3" w:rsidRDefault="00E000E3" w:rsidP="00E000E3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ind w:left="284"/>
        <w:rPr>
          <w:rFonts w:ascii="Times" w:hAnsi="Times" w:cs="Times"/>
        </w:rPr>
      </w:pPr>
      <w:r>
        <w:rPr>
          <w:rFonts w:ascii="Times" w:hAnsi="Times" w:cs="Times"/>
        </w:rPr>
        <w:t>5.4  Descartes is not committed to self-presentation </w:t>
      </w:r>
    </w:p>
    <w:p w14:paraId="2227A845" w14:textId="77777777" w:rsidR="00E000E3" w:rsidRDefault="00E000E3" w:rsidP="00E000E3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ind w:left="284"/>
        <w:rPr>
          <w:rFonts w:ascii="Times" w:hAnsi="Times" w:cs="Times"/>
        </w:rPr>
      </w:pPr>
      <w:r>
        <w:rPr>
          <w:rFonts w:ascii="Times" w:hAnsi="Times" w:cs="Times"/>
        </w:rPr>
        <w:t>5.5  The contrast argument against self-presentation</w:t>
      </w:r>
    </w:p>
    <w:p w14:paraId="666F2473" w14:textId="77777777" w:rsidR="00E000E3" w:rsidRDefault="00E000E3" w:rsidP="00E000E3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ind w:left="284"/>
        <w:rPr>
          <w:rFonts w:ascii="Times" w:hAnsi="Times" w:cs="Times"/>
        </w:rPr>
      </w:pPr>
      <w:r>
        <w:rPr>
          <w:rFonts w:ascii="Times" w:hAnsi="Times" w:cs="Times"/>
        </w:rPr>
        <w:t xml:space="preserve">5.6  “I know that I have a body” and Anscombian doubt </w:t>
      </w:r>
    </w:p>
    <w:p w14:paraId="50D64843" w14:textId="77777777" w:rsidR="00E000E3" w:rsidRDefault="00E000E3" w:rsidP="00E000E3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ind w:left="284"/>
        <w:rPr>
          <w:rFonts w:ascii="Times" w:hAnsi="Times" w:cs="Times"/>
        </w:rPr>
      </w:pPr>
      <w:r>
        <w:rPr>
          <w:rFonts w:ascii="Times" w:hAnsi="Times" w:cs="Times"/>
        </w:rPr>
        <w:t xml:space="preserve">5.7  The Body–body problem </w:t>
      </w:r>
    </w:p>
    <w:p w14:paraId="479F0F2D" w14:textId="77777777" w:rsidR="00E000E3" w:rsidRDefault="00E000E3" w:rsidP="00E000E3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ind w:left="284"/>
        <w:rPr>
          <w:rFonts w:ascii="Times" w:hAnsi="Times" w:cs="Times"/>
        </w:rPr>
      </w:pPr>
      <w:r>
        <w:rPr>
          <w:rFonts w:ascii="Times" w:hAnsi="Times" w:cs="Times"/>
        </w:rPr>
        <w:t xml:space="preserve">5.8  The unity of consciousness versus the unitary self </w:t>
      </w:r>
    </w:p>
    <w:p w14:paraId="3C160D36" w14:textId="77777777" w:rsidR="00E000E3" w:rsidRDefault="00E000E3" w:rsidP="00E000E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  <w:b/>
          <w:bCs/>
        </w:rPr>
        <w:t xml:space="preserve">6  Self-Identification and Self-Reference </w:t>
      </w:r>
    </w:p>
    <w:p w14:paraId="35059E9E" w14:textId="77777777" w:rsidR="00E000E3" w:rsidRDefault="00E000E3" w:rsidP="00E000E3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ind w:left="284"/>
        <w:rPr>
          <w:rFonts w:ascii="Times" w:hAnsi="Times" w:cs="Times"/>
        </w:rPr>
      </w:pPr>
      <w:r>
        <w:rPr>
          <w:rFonts w:ascii="Times" w:hAnsi="Times" w:cs="Times"/>
        </w:rPr>
        <w:t xml:space="preserve">6.1  Guaranteed reference and IEM </w:t>
      </w:r>
    </w:p>
    <w:p w14:paraId="33A2F09C" w14:textId="77777777" w:rsidR="00E000E3" w:rsidRDefault="00E000E3" w:rsidP="00E000E3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ind w:left="284"/>
        <w:rPr>
          <w:rFonts w:ascii="Times" w:hAnsi="Times" w:cs="Times"/>
        </w:rPr>
      </w:pPr>
      <w:r>
        <w:rPr>
          <w:rFonts w:ascii="Times" w:hAnsi="Times" w:cs="Times"/>
        </w:rPr>
        <w:t xml:space="preserve">6.2  Limited defence of indirect reference as not associated  with observational model </w:t>
      </w:r>
    </w:p>
    <w:p w14:paraId="0CF56904" w14:textId="77777777" w:rsidR="00E000E3" w:rsidRDefault="00E000E3" w:rsidP="00E000E3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ind w:left="284"/>
        <w:rPr>
          <w:rFonts w:ascii="Times" w:hAnsi="Times" w:cs="Times"/>
        </w:rPr>
      </w:pPr>
      <w:r>
        <w:rPr>
          <w:rFonts w:ascii="Times" w:hAnsi="Times" w:cs="Times"/>
        </w:rPr>
        <w:t xml:space="preserve">6.3  A deflationary account replaces direct and  indirect reference </w:t>
      </w:r>
    </w:p>
    <w:p w14:paraId="3DCA77D9" w14:textId="77777777" w:rsidR="00E000E3" w:rsidRDefault="00E000E3" w:rsidP="00E000E3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ind w:left="284"/>
        <w:rPr>
          <w:rFonts w:ascii="Times" w:hAnsi="Times" w:cs="Times"/>
        </w:rPr>
      </w:pPr>
      <w:r>
        <w:rPr>
          <w:rFonts w:ascii="Times" w:hAnsi="Times" w:cs="Times"/>
        </w:rPr>
        <w:t xml:space="preserve">6.4  Deflationary account developed: discrimination  and non-discrimination requirements </w:t>
      </w:r>
    </w:p>
    <w:p w14:paraId="1B649EEB" w14:textId="77777777" w:rsidR="00E000E3" w:rsidRDefault="00E000E3" w:rsidP="00E000E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284"/>
        <w:rPr>
          <w:rFonts w:ascii="Times" w:hAnsi="Times" w:cs="Times"/>
        </w:rPr>
      </w:pPr>
      <w:r>
        <w:rPr>
          <w:rFonts w:ascii="Times" w:hAnsi="Times" w:cs="Times"/>
        </w:rPr>
        <w:t xml:space="preserve">6.5  Deflationary account concluded: self-location </w:t>
      </w:r>
    </w:p>
    <w:p w14:paraId="7E31641A" w14:textId="77777777" w:rsidR="00E000E3" w:rsidRDefault="00E000E3" w:rsidP="00E000E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284"/>
        <w:rPr>
          <w:rFonts w:ascii="Times" w:hAnsi="Times" w:cs="Times"/>
        </w:rPr>
      </w:pPr>
      <w:r>
        <w:rPr>
          <w:rFonts w:ascii="Times" w:hAnsi="Times" w:cs="Times"/>
        </w:rPr>
        <w:t xml:space="preserve">6.6  Two senses of “identification” and the  no-reference view of “I” </w:t>
      </w:r>
    </w:p>
    <w:p w14:paraId="47DA2544" w14:textId="77777777" w:rsidR="00E000E3" w:rsidRDefault="00E000E3" w:rsidP="00E000E3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  <w:b/>
          <w:bCs/>
        </w:rPr>
        <w:t xml:space="preserve">7 Humanism and Animal Self-Consciousness </w:t>
      </w:r>
    </w:p>
    <w:p w14:paraId="16D48A3B" w14:textId="77777777" w:rsidR="00E000E3" w:rsidRDefault="00E000E3" w:rsidP="00E000E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284"/>
        <w:rPr>
          <w:rFonts w:ascii="Times" w:hAnsi="Times" w:cs="Times"/>
        </w:rPr>
      </w:pPr>
      <w:r>
        <w:rPr>
          <w:rFonts w:ascii="Times" w:hAnsi="Times" w:cs="Times"/>
        </w:rPr>
        <w:t>7.1  Philosophical humanism in the philosophy of mind  </w:t>
      </w:r>
    </w:p>
    <w:p w14:paraId="72C7BBD1" w14:textId="77777777" w:rsidR="00E000E3" w:rsidRDefault="00E000E3" w:rsidP="00E000E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284"/>
        <w:rPr>
          <w:rFonts w:ascii="Times" w:hAnsi="Times" w:cs="Times"/>
        </w:rPr>
      </w:pPr>
      <w:r>
        <w:rPr>
          <w:rFonts w:ascii="Times" w:hAnsi="Times" w:cs="Times"/>
        </w:rPr>
        <w:t xml:space="preserve">7.2  Philosophical humanism and the humanities </w:t>
      </w:r>
    </w:p>
    <w:p w14:paraId="737D3E94" w14:textId="77777777" w:rsidR="00E000E3" w:rsidRDefault="00E000E3" w:rsidP="00E000E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284"/>
        <w:rPr>
          <w:rFonts w:ascii="Times" w:hAnsi="Times" w:cs="Times"/>
        </w:rPr>
      </w:pPr>
      <w:r>
        <w:rPr>
          <w:rFonts w:ascii="Times" w:hAnsi="Times" w:cs="Times"/>
        </w:rPr>
        <w:t xml:space="preserve">7.3  The mirror test as illustration of proto-self-consciousness  in non-language-users </w:t>
      </w:r>
    </w:p>
    <w:p w14:paraId="26D6A522" w14:textId="77777777" w:rsidR="00E000E3" w:rsidRDefault="00E000E3" w:rsidP="00E000E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284"/>
        <w:rPr>
          <w:rFonts w:ascii="Times" w:hAnsi="Times" w:cs="Times"/>
        </w:rPr>
      </w:pPr>
      <w:r>
        <w:rPr>
          <w:rFonts w:ascii="Times" w:hAnsi="Times" w:cs="Times"/>
        </w:rPr>
        <w:t xml:space="preserve">7.4  Deflationary objection to the mirror test as  illustrating primitive self-consciousness </w:t>
      </w:r>
    </w:p>
    <w:p w14:paraId="1389DC73" w14:textId="77777777" w:rsidR="00E000E3" w:rsidRDefault="00E000E3" w:rsidP="00E000E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284"/>
        <w:rPr>
          <w:rFonts w:ascii="Times" w:hAnsi="Times" w:cs="Times"/>
        </w:rPr>
      </w:pPr>
      <w:r>
        <w:rPr>
          <w:rFonts w:ascii="Times" w:hAnsi="Times" w:cs="Times"/>
        </w:rPr>
        <w:t>7.5  Inflationary objection to the mirror test as  illustrating primitive self-consciousness   </w:t>
      </w:r>
    </w:p>
    <w:p w14:paraId="2ADAEC1D" w14:textId="77777777" w:rsidR="007922C4" w:rsidRDefault="007922C4" w:rsidP="00E000E3"/>
    <w:sectPr w:rsidR="007922C4" w:rsidSect="00E000E3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00000002">
      <w:start w:val="1"/>
      <w:numFmt w:val="bullet"/>
      <w:lvlText w:val="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5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4"/>
      <w:numFmt w:val="bullet"/>
      <w:lvlText w:val="."/>
      <w:lvlJc w:val="left"/>
      <w:pPr>
        <w:ind w:left="720" w:hanging="360"/>
      </w:pPr>
    </w:lvl>
    <w:lvl w:ilvl="1" w:tplc="000000CA">
      <w:start w:val="1"/>
      <w:numFmt w:val="bullet"/>
      <w:lvlText w:val="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5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0E3"/>
    <w:rsid w:val="00112E75"/>
    <w:rsid w:val="002B5B88"/>
    <w:rsid w:val="006458C6"/>
    <w:rsid w:val="00787A9A"/>
    <w:rsid w:val="007922C4"/>
    <w:rsid w:val="00AD26D6"/>
    <w:rsid w:val="00B04CC1"/>
    <w:rsid w:val="00D342A3"/>
    <w:rsid w:val="00DA6864"/>
    <w:rsid w:val="00E000E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5EBC1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ＭＳ 明朝" w:hAnsiTheme="minorHAnsi" w:cstheme="minorBidi"/>
        <w:sz w:val="24"/>
        <w:szCs w:val="24"/>
        <w:lang w:val="en-GB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D26D6"/>
    <w:pPr>
      <w:spacing w:after="120"/>
    </w:pPr>
    <w:rPr>
      <w:rFonts w:ascii="Cambria" w:hAnsi="Cambria" w:cs="Times New Roman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ＭＳ 明朝" w:hAnsiTheme="minorHAnsi" w:cstheme="minorBidi"/>
        <w:sz w:val="24"/>
        <w:szCs w:val="24"/>
        <w:lang w:val="en-GB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D26D6"/>
    <w:pPr>
      <w:spacing w:after="120"/>
    </w:pPr>
    <w:rPr>
      <w:rFonts w:ascii="Cambria" w:hAnsi="Cambria" w:cs="Times New Roman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2</Pages>
  <Words>593</Words>
  <Characters>3018</Characters>
  <Application>Microsoft Macintosh Word</Application>
  <DocSecurity>0</DocSecurity>
  <Lines>45</Lines>
  <Paragraphs>8</Paragraphs>
  <ScaleCrop>false</ScaleCrop>
  <Company>Université de Nantes</Company>
  <LinksUpToDate>false</LinksUpToDate>
  <CharactersWithSpaces>3603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Cyrille Michon</dc:creator>
  <cp:keywords/>
  <dc:description/>
  <cp:lastModifiedBy>Cyrille Michon</cp:lastModifiedBy>
  <cp:revision>2</cp:revision>
  <cp:lastPrinted>2016-11-08T10:50:00Z</cp:lastPrinted>
  <dcterms:created xsi:type="dcterms:W3CDTF">2016-11-08T09:43:00Z</dcterms:created>
  <dcterms:modified xsi:type="dcterms:W3CDTF">2016-11-08T16:05:00Z</dcterms:modified>
</cp:coreProperties>
</file>