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8F" w:rsidRPr="008C2D8F" w:rsidRDefault="00547C84" w:rsidP="002B0BF1">
      <w:pPr>
        <w:jc w:val="center"/>
      </w:pPr>
      <w:r>
        <w:t>Karl Marx</w:t>
      </w:r>
    </w:p>
    <w:p w:rsidR="000E1BEA" w:rsidRPr="001E2F85" w:rsidRDefault="0030125B" w:rsidP="001E2F85">
      <w:pPr>
        <w:jc w:val="center"/>
        <w:rPr>
          <w:b/>
        </w:rPr>
      </w:pPr>
      <w:r>
        <w:rPr>
          <w:b/>
        </w:rPr>
        <w:t>Sur la Question  juive</w:t>
      </w:r>
    </w:p>
    <w:p w:rsidR="008C2D8F" w:rsidRDefault="000E1BEA" w:rsidP="00381277">
      <w:pPr>
        <w:jc w:val="center"/>
      </w:pPr>
      <w:r>
        <w:t>(Traduction : Jean</w:t>
      </w:r>
      <w:r w:rsidR="001E2F85">
        <w:t>-François Poirier, Paris : La Fabrique éditions, 2006</w:t>
      </w:r>
      <w:r w:rsidR="005E1738">
        <w:t>, p. 55 et suiv.</w:t>
      </w:r>
      <w:r>
        <w:t>)</w:t>
      </w:r>
    </w:p>
    <w:p w:rsidR="0030125B" w:rsidRDefault="0030125B" w:rsidP="00A646ED"/>
    <w:p w:rsidR="007B64F2" w:rsidRDefault="00AE2DDE" w:rsidP="008C5B18">
      <w:r>
        <w:t xml:space="preserve">Les </w:t>
      </w:r>
      <w:r>
        <w:rPr>
          <w:i/>
        </w:rPr>
        <w:t xml:space="preserve">droits de l’homme </w:t>
      </w:r>
      <w:r>
        <w:t xml:space="preserve">sont donc distincts en tant que </w:t>
      </w:r>
      <w:r>
        <w:rPr>
          <w:i/>
        </w:rPr>
        <w:t xml:space="preserve">tels </w:t>
      </w:r>
      <w:r>
        <w:t xml:space="preserve"> des </w:t>
      </w:r>
      <w:r>
        <w:rPr>
          <w:i/>
        </w:rPr>
        <w:t xml:space="preserve">droits du citoyen. </w:t>
      </w:r>
      <w:r>
        <w:t xml:space="preserve">Quel est cet </w:t>
      </w:r>
      <w:r>
        <w:rPr>
          <w:i/>
        </w:rPr>
        <w:t xml:space="preserve">homme </w:t>
      </w:r>
      <w:r>
        <w:t xml:space="preserve">distinct du </w:t>
      </w:r>
      <w:r>
        <w:rPr>
          <w:i/>
        </w:rPr>
        <w:t>citoyen </w:t>
      </w:r>
      <w:r>
        <w:t xml:space="preserve">? </w:t>
      </w:r>
      <w:r w:rsidR="00D75942">
        <w:t xml:space="preserve">Personne d’autre que le </w:t>
      </w:r>
      <w:r w:rsidR="00D75942">
        <w:rPr>
          <w:i/>
        </w:rPr>
        <w:t xml:space="preserve">membre de la société civile. </w:t>
      </w:r>
      <w:r w:rsidR="00D75942">
        <w:t xml:space="preserve">Pourquoi le membre de la société civile est-il désigné du nom « d’homme », d’homme tout court, pourquoi ses droits sont-ils désignés du nom, comme on les appelle, de « droits de l’homme » ? </w:t>
      </w:r>
      <w:r w:rsidR="0069599F">
        <w:t xml:space="preserve">Comment expliquons-nous ce fait ? </w:t>
      </w:r>
      <w:r w:rsidR="008B34D7">
        <w:t xml:space="preserve">Par le rapport de l’Etat politique avec la société civile, par l’essence de l’émancipation politique. </w:t>
      </w:r>
    </w:p>
    <w:p w:rsidR="00FA7C93" w:rsidRDefault="007B64F2" w:rsidP="008C5B18">
      <w:r>
        <w:t>A</w:t>
      </w:r>
      <w:r w:rsidR="0030125B">
        <w:t xml:space="preserve">vant tout, nous constatons que ce qu’on appelle les </w:t>
      </w:r>
      <w:r w:rsidR="0030125B">
        <w:rPr>
          <w:i/>
          <w:iCs/>
        </w:rPr>
        <w:t xml:space="preserve">droits de l’homme, </w:t>
      </w:r>
      <w:r w:rsidR="00AE2DDE">
        <w:t>dis</w:t>
      </w:r>
      <w:r w:rsidR="0030125B">
        <w:t xml:space="preserve">tingués des </w:t>
      </w:r>
      <w:r w:rsidR="0030125B">
        <w:rPr>
          <w:i/>
          <w:iCs/>
        </w:rPr>
        <w:t xml:space="preserve">droits du citoyen, </w:t>
      </w:r>
      <w:r w:rsidR="0030125B">
        <w:t xml:space="preserve">ne sont rien d’autre que les droits du membre de </w:t>
      </w:r>
      <w:r w:rsidR="005E1738">
        <w:t>la société civile</w:t>
      </w:r>
      <w:r w:rsidR="0030125B">
        <w:t>,</w:t>
      </w:r>
      <w:r w:rsidR="004C4BDD">
        <w:t xml:space="preserve"> c’est-à-dire de l’homme égoï</w:t>
      </w:r>
      <w:r w:rsidR="0030125B">
        <w:t xml:space="preserve">ste, de l’homme séparé de </w:t>
      </w:r>
      <w:r w:rsidR="005E1738">
        <w:t>l’homme et de la chose publique</w:t>
      </w:r>
      <w:r w:rsidR="001766DD">
        <w:t xml:space="preserve"> : </w:t>
      </w:r>
    </w:p>
    <w:p w:rsidR="00856347" w:rsidRPr="005E1738" w:rsidRDefault="00FA7C93" w:rsidP="005E1738">
      <w:pPr>
        <w:pStyle w:val="Citation"/>
        <w:rPr>
          <w:i/>
        </w:rPr>
      </w:pPr>
      <w:r w:rsidRPr="005E1738">
        <w:rPr>
          <w:i/>
        </w:rPr>
        <w:t>Déclaration des droits de l’homme et du citoyen</w:t>
      </w:r>
      <w:r w:rsidR="00856347" w:rsidRPr="005E1738">
        <w:rPr>
          <w:i/>
        </w:rPr>
        <w:t xml:space="preserve">. </w:t>
      </w:r>
    </w:p>
    <w:p w:rsidR="00141ABC" w:rsidRDefault="00856347" w:rsidP="005E1738">
      <w:pPr>
        <w:pStyle w:val="Citation"/>
      </w:pPr>
      <w:r>
        <w:t xml:space="preserve">Article 2. « Ces droits etc. (les droits naturels et imprescriptibles) sont </w:t>
      </w:r>
      <w:r w:rsidRPr="00856347">
        <w:rPr>
          <w:i/>
        </w:rPr>
        <w:t>l’égalité</w:t>
      </w:r>
      <w:r>
        <w:t xml:space="preserve">, la </w:t>
      </w:r>
      <w:r w:rsidRPr="00856347">
        <w:rPr>
          <w:i/>
        </w:rPr>
        <w:t>liberté</w:t>
      </w:r>
      <w:r>
        <w:t xml:space="preserve">, la </w:t>
      </w:r>
      <w:r w:rsidRPr="00856347">
        <w:rPr>
          <w:i/>
        </w:rPr>
        <w:t>sûreté</w:t>
      </w:r>
      <w:r>
        <w:t xml:space="preserve">, la </w:t>
      </w:r>
      <w:r w:rsidRPr="00856347">
        <w:rPr>
          <w:i/>
        </w:rPr>
        <w:t>propriété</w:t>
      </w:r>
      <w:r>
        <w:t xml:space="preserve">. » </w:t>
      </w:r>
    </w:p>
    <w:p w:rsidR="004F0C50" w:rsidRDefault="0030125B" w:rsidP="008C5B18">
      <w:r>
        <w:t xml:space="preserve">En quoi consiste la </w:t>
      </w:r>
      <w:r>
        <w:rPr>
          <w:i/>
          <w:iCs/>
        </w:rPr>
        <w:t xml:space="preserve">liberté </w:t>
      </w:r>
      <w:r>
        <w:t xml:space="preserve">? </w:t>
      </w:r>
    </w:p>
    <w:p w:rsidR="00EE2CAC" w:rsidRDefault="004F0C50" w:rsidP="005E1738">
      <w:pPr>
        <w:pStyle w:val="Citation"/>
      </w:pPr>
      <w:r>
        <w:t>A</w:t>
      </w:r>
      <w:r w:rsidR="0030125B">
        <w:t>rticle 6. « La liberté est le pouvoir qui appartient à l’homme de faire tout ce qui ne nuit pas aux droits d’autrui</w:t>
      </w:r>
      <w:r w:rsidR="0030125B">
        <w:rPr>
          <w:position w:val="6"/>
          <w:sz w:val="12"/>
          <w:szCs w:val="12"/>
        </w:rPr>
        <w:t xml:space="preserve"> </w:t>
      </w:r>
      <w:r w:rsidR="0030125B">
        <w:t xml:space="preserve"> » </w:t>
      </w:r>
      <w:r w:rsidR="00EE2CAC">
        <w:t>ou selon la Déclaration des droits de l’homme de 1791 :</w:t>
      </w:r>
      <w:r w:rsidR="00343453">
        <w:t xml:space="preserve"> « La liberté consiste à pouvoir faire tout ce qui ne nuit pas à autrui ». </w:t>
      </w:r>
    </w:p>
    <w:p w:rsidR="00075E91" w:rsidRDefault="0030125B" w:rsidP="008C5B18">
      <w:r>
        <w:t xml:space="preserve">La liberté est donc le droit de faire tout ce qui ne nuit pas à autrui. Les limites à l’inté- rieur desquelles chacun peut évoluer </w:t>
      </w:r>
      <w:r>
        <w:rPr>
          <w:i/>
          <w:iCs/>
        </w:rPr>
        <w:t xml:space="preserve">sans être nuisible à autrui </w:t>
      </w:r>
      <w:r>
        <w:t xml:space="preserve">sont déterminées par la loi qui détermine la limite </w:t>
      </w:r>
      <w:r w:rsidR="005E1738">
        <w:t>entre deux champs comme une clô</w:t>
      </w:r>
      <w:r>
        <w:t>ture. il y va de la liberté de l’homme comme monade i</w:t>
      </w:r>
      <w:r w:rsidR="005E1738">
        <w:t>solée et refermée sur elle-mê</w:t>
      </w:r>
      <w:r>
        <w:t xml:space="preserve">me. </w:t>
      </w:r>
      <w:r w:rsidR="00075E91">
        <w:t xml:space="preserve">Pourquoi le juif est-il, selon Bauer, inapte à recevoir les droits de l’homme ? </w:t>
      </w:r>
      <w:r w:rsidR="00616009">
        <w:t>« Aussi longtemps qu’il est juif, l’essence restreinte qui fait de lui un juif l’emportera forcément sur l’essence humaine qui devrait le relier en tant qu’homme aux autres hommes, et le séparera des non-juifs »</w:t>
      </w:r>
    </w:p>
    <w:p w:rsidR="00137F61" w:rsidRDefault="00616009" w:rsidP="008C5B18">
      <w:r>
        <w:t>M</w:t>
      </w:r>
      <w:r w:rsidR="0030125B">
        <w:t>ais le droit de l’homme qu’est la liberté se fonde non pas sur ce qui relie l’homme à l’homme, mais au contraire sur la séparation de l’homme d’avec</w:t>
      </w:r>
      <w:r w:rsidR="00261FE6">
        <w:t xml:space="preserve"> l’homme. C</w:t>
      </w:r>
      <w:r w:rsidR="0030125B">
        <w:t xml:space="preserve">’est le </w:t>
      </w:r>
      <w:r w:rsidR="0030125B">
        <w:rPr>
          <w:i/>
          <w:iCs/>
        </w:rPr>
        <w:t xml:space="preserve">droit </w:t>
      </w:r>
      <w:r w:rsidR="0030125B">
        <w:t xml:space="preserve">à cette séparation, le droit de l’individu </w:t>
      </w:r>
      <w:r w:rsidR="0030125B">
        <w:rPr>
          <w:i/>
          <w:iCs/>
        </w:rPr>
        <w:t>restreint</w:t>
      </w:r>
      <w:r w:rsidR="00E10F83">
        <w:t>, res</w:t>
      </w:r>
      <w:r w:rsidR="004D2D52">
        <w:t>treint à lui-mê</w:t>
      </w:r>
      <w:r w:rsidR="0030125B">
        <w:t xml:space="preserve">me. </w:t>
      </w:r>
    </w:p>
    <w:p w:rsidR="00137F61" w:rsidRDefault="0030125B" w:rsidP="008C5B18">
      <w:r>
        <w:t xml:space="preserve">L’application pratique du droit de l’homme à la liberté est le droit de l’homme à la </w:t>
      </w:r>
      <w:r>
        <w:rPr>
          <w:i/>
          <w:iCs/>
        </w:rPr>
        <w:t>propriété privée</w:t>
      </w:r>
      <w:r>
        <w:t xml:space="preserve">. </w:t>
      </w:r>
    </w:p>
    <w:p w:rsidR="00137F61" w:rsidRDefault="0030125B" w:rsidP="008C5B18">
      <w:r>
        <w:t xml:space="preserve">En quoi consiste le droit de l’homme à la </w:t>
      </w:r>
      <w:r w:rsidR="00137F61">
        <w:t xml:space="preserve">propriété privée ? </w:t>
      </w:r>
    </w:p>
    <w:p w:rsidR="00F63399" w:rsidRDefault="00137F61" w:rsidP="005E1738">
      <w:pPr>
        <w:pStyle w:val="Citation"/>
      </w:pPr>
      <w:r>
        <w:t>A</w:t>
      </w:r>
      <w:r w:rsidR="0030125B">
        <w:t>rticle 16. (</w:t>
      </w:r>
      <w:r w:rsidR="0030125B">
        <w:rPr>
          <w:i/>
          <w:iCs/>
        </w:rPr>
        <w:t>Constitution de 1793</w:t>
      </w:r>
      <w:r w:rsidR="0030125B">
        <w:t xml:space="preserve">) : « Le droit de propriété est celui qui appartient à tout citoyen de jouir et de disposer </w:t>
      </w:r>
      <w:r w:rsidR="0030125B">
        <w:rPr>
          <w:i/>
          <w:iCs/>
        </w:rPr>
        <w:t xml:space="preserve">à son gré </w:t>
      </w:r>
      <w:r w:rsidR="0030125B">
        <w:t xml:space="preserve">de ses biens, de ses revenus, du fruit de son travail et de son industrie ». </w:t>
      </w:r>
    </w:p>
    <w:p w:rsidR="00A646ED" w:rsidRPr="008C2D8F" w:rsidRDefault="0030125B" w:rsidP="005E1738">
      <w:pPr>
        <w:spacing w:before="240"/>
      </w:pPr>
      <w:r>
        <w:t xml:space="preserve">Le droit de l’homme à la propriété privée est donc le droit de jouir de sa fortune et d’en disposer </w:t>
      </w:r>
      <w:r>
        <w:rPr>
          <w:i/>
          <w:iCs/>
        </w:rPr>
        <w:t>à son gré</w:t>
      </w:r>
      <w:r>
        <w:t xml:space="preserve">, sans tenir compte d’autrui, indépendamment de la société, c’est le droit à </w:t>
      </w:r>
      <w:r w:rsidR="003B11C8">
        <w:t>l’égoï</w:t>
      </w:r>
      <w:r>
        <w:t xml:space="preserve">sme. cette liberté individuelle, tout comme sa mise en application, forme le fondement de la </w:t>
      </w:r>
      <w:r w:rsidR="005E1738">
        <w:t>société civile.</w:t>
      </w:r>
    </w:p>
    <w:sectPr w:rsidR="00A646ED" w:rsidRPr="008C2D8F" w:rsidSect="008C2D8F">
      <w:footerReference w:type="even" r:id="rId4"/>
      <w:footerReference w:type="default" r:id="rId5"/>
      <w:pgSz w:w="11900" w:h="16840"/>
      <w:pgMar w:top="1417" w:right="1417" w:bottom="1417" w:left="1417"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39" w:rsidRDefault="003E2D0B" w:rsidP="008C2D8F">
    <w:pPr>
      <w:pStyle w:val="Pieddepage"/>
      <w:framePr w:wrap="around" w:vAnchor="text" w:hAnchor="margin" w:xAlign="right" w:y="1"/>
      <w:rPr>
        <w:rStyle w:val="Numrodepage"/>
      </w:rPr>
    </w:pPr>
    <w:r>
      <w:rPr>
        <w:rStyle w:val="Numrodepage"/>
      </w:rPr>
      <w:fldChar w:fldCharType="begin"/>
    </w:r>
    <w:r w:rsidR="002D7939">
      <w:rPr>
        <w:rStyle w:val="Numrodepage"/>
      </w:rPr>
      <w:instrText xml:space="preserve">PAGE  </w:instrText>
    </w:r>
    <w:r>
      <w:rPr>
        <w:rStyle w:val="Numrodepage"/>
      </w:rPr>
      <w:fldChar w:fldCharType="end"/>
    </w:r>
  </w:p>
  <w:p w:rsidR="002D7939" w:rsidRDefault="002D7939" w:rsidP="008C2D8F">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39" w:rsidRDefault="003E2D0B" w:rsidP="008C2D8F">
    <w:pPr>
      <w:pStyle w:val="Pieddepage"/>
      <w:framePr w:wrap="around" w:vAnchor="text" w:hAnchor="margin" w:xAlign="right" w:y="1"/>
      <w:rPr>
        <w:rStyle w:val="Numrodepage"/>
      </w:rPr>
    </w:pPr>
    <w:r>
      <w:rPr>
        <w:rStyle w:val="Numrodepage"/>
      </w:rPr>
      <w:fldChar w:fldCharType="begin"/>
    </w:r>
    <w:r w:rsidR="002D7939">
      <w:rPr>
        <w:rStyle w:val="Numrodepage"/>
      </w:rPr>
      <w:instrText xml:space="preserve">PAGE  </w:instrText>
    </w:r>
    <w:r>
      <w:rPr>
        <w:rStyle w:val="Numrodepage"/>
      </w:rPr>
      <w:fldChar w:fldCharType="separate"/>
    </w:r>
    <w:r w:rsidR="005E1738">
      <w:rPr>
        <w:rStyle w:val="Numrodepage"/>
        <w:noProof/>
      </w:rPr>
      <w:t>2</w:t>
    </w:r>
    <w:r>
      <w:rPr>
        <w:rStyle w:val="Numrodepage"/>
      </w:rPr>
      <w:fldChar w:fldCharType="end"/>
    </w:r>
  </w:p>
  <w:p w:rsidR="002D7939" w:rsidRDefault="002D7939" w:rsidP="008C2D8F">
    <w:pPr>
      <w:pStyle w:val="Pieddepage"/>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943F4"/>
    <w:rsid w:val="000324BC"/>
    <w:rsid w:val="00075E91"/>
    <w:rsid w:val="000943F4"/>
    <w:rsid w:val="000C1BB6"/>
    <w:rsid w:val="000C1FDC"/>
    <w:rsid w:val="000E1BEA"/>
    <w:rsid w:val="00137F61"/>
    <w:rsid w:val="00141ABC"/>
    <w:rsid w:val="001766DD"/>
    <w:rsid w:val="001E2F85"/>
    <w:rsid w:val="00203F46"/>
    <w:rsid w:val="00232FFE"/>
    <w:rsid w:val="00261FE6"/>
    <w:rsid w:val="002B0BF1"/>
    <w:rsid w:val="002D7939"/>
    <w:rsid w:val="002F29A4"/>
    <w:rsid w:val="0030125B"/>
    <w:rsid w:val="00343453"/>
    <w:rsid w:val="00357F97"/>
    <w:rsid w:val="00381277"/>
    <w:rsid w:val="003A2DA0"/>
    <w:rsid w:val="003B11C8"/>
    <w:rsid w:val="003B7403"/>
    <w:rsid w:val="003C3379"/>
    <w:rsid w:val="003E2D0B"/>
    <w:rsid w:val="00451A22"/>
    <w:rsid w:val="0047026D"/>
    <w:rsid w:val="004760F7"/>
    <w:rsid w:val="004C4BDD"/>
    <w:rsid w:val="004D2D52"/>
    <w:rsid w:val="004F0C50"/>
    <w:rsid w:val="00525B06"/>
    <w:rsid w:val="00547C84"/>
    <w:rsid w:val="005E1738"/>
    <w:rsid w:val="005E3EF1"/>
    <w:rsid w:val="00616009"/>
    <w:rsid w:val="00650D86"/>
    <w:rsid w:val="006629DE"/>
    <w:rsid w:val="00680A0C"/>
    <w:rsid w:val="0069599F"/>
    <w:rsid w:val="006C00B3"/>
    <w:rsid w:val="007761CE"/>
    <w:rsid w:val="007A0AA0"/>
    <w:rsid w:val="007B64F2"/>
    <w:rsid w:val="007E419A"/>
    <w:rsid w:val="008351BF"/>
    <w:rsid w:val="00856347"/>
    <w:rsid w:val="00883902"/>
    <w:rsid w:val="008B34D7"/>
    <w:rsid w:val="008C2D8F"/>
    <w:rsid w:val="008C4E35"/>
    <w:rsid w:val="008C5B18"/>
    <w:rsid w:val="008D63CE"/>
    <w:rsid w:val="009065C7"/>
    <w:rsid w:val="0091078F"/>
    <w:rsid w:val="0097473D"/>
    <w:rsid w:val="009D34C5"/>
    <w:rsid w:val="00A64168"/>
    <w:rsid w:val="00A646ED"/>
    <w:rsid w:val="00AE2DDE"/>
    <w:rsid w:val="00AF53DB"/>
    <w:rsid w:val="00B13EEE"/>
    <w:rsid w:val="00B4236B"/>
    <w:rsid w:val="00B6514F"/>
    <w:rsid w:val="00B70E73"/>
    <w:rsid w:val="00BE54A1"/>
    <w:rsid w:val="00C8342F"/>
    <w:rsid w:val="00CC2AA5"/>
    <w:rsid w:val="00D02764"/>
    <w:rsid w:val="00D20EFE"/>
    <w:rsid w:val="00D34F29"/>
    <w:rsid w:val="00D75942"/>
    <w:rsid w:val="00D962F5"/>
    <w:rsid w:val="00DC2D5F"/>
    <w:rsid w:val="00DC3E01"/>
    <w:rsid w:val="00DE3875"/>
    <w:rsid w:val="00DE603C"/>
    <w:rsid w:val="00DE61DA"/>
    <w:rsid w:val="00E10F83"/>
    <w:rsid w:val="00E44363"/>
    <w:rsid w:val="00E64141"/>
    <w:rsid w:val="00E82EE9"/>
    <w:rsid w:val="00EE2CAC"/>
    <w:rsid w:val="00EF318B"/>
    <w:rsid w:val="00F03E59"/>
    <w:rsid w:val="00F451DF"/>
    <w:rsid w:val="00F63399"/>
    <w:rsid w:val="00F764FC"/>
    <w:rsid w:val="00F772AB"/>
    <w:rsid w:val="00FA7C93"/>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DD"/>
    <w:pPr>
      <w:spacing w:line="360" w:lineRule="auto"/>
      <w:jc w:val="both"/>
    </w:pPr>
    <w:rPr>
      <w:rFonts w:ascii="Times New Roman" w:hAnsi="Times New Roman"/>
      <w:sz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ieddepage">
    <w:name w:val="footer"/>
    <w:basedOn w:val="Normal"/>
    <w:link w:val="PieddepageCar"/>
    <w:uiPriority w:val="99"/>
    <w:semiHidden/>
    <w:unhideWhenUsed/>
    <w:rsid w:val="008C2D8F"/>
    <w:pPr>
      <w:tabs>
        <w:tab w:val="center" w:pos="4536"/>
        <w:tab w:val="right" w:pos="9072"/>
      </w:tabs>
    </w:pPr>
  </w:style>
  <w:style w:type="character" w:customStyle="1" w:styleId="PieddepageCar">
    <w:name w:val="Pied de page Car"/>
    <w:basedOn w:val="Policepardfaut"/>
    <w:link w:val="Pieddepage"/>
    <w:uiPriority w:val="99"/>
    <w:semiHidden/>
    <w:rsid w:val="008C2D8F"/>
  </w:style>
  <w:style w:type="character" w:styleId="Numrodepage">
    <w:name w:val="page number"/>
    <w:basedOn w:val="Policepardfaut"/>
    <w:uiPriority w:val="99"/>
    <w:semiHidden/>
    <w:unhideWhenUsed/>
    <w:rsid w:val="008C2D8F"/>
  </w:style>
  <w:style w:type="paragraph" w:styleId="NormalWeb">
    <w:name w:val="Normal (Web)"/>
    <w:basedOn w:val="Normal"/>
    <w:uiPriority w:val="99"/>
    <w:rsid w:val="00D962F5"/>
    <w:pPr>
      <w:spacing w:beforeLines="1" w:afterLines="1"/>
    </w:pPr>
    <w:rPr>
      <w:rFonts w:ascii="Times" w:hAnsi="Times" w:cs="Times New Roman"/>
      <w:sz w:val="20"/>
      <w:szCs w:val="20"/>
      <w:lang w:eastAsia="fr-FR"/>
    </w:rPr>
  </w:style>
  <w:style w:type="paragraph" w:styleId="Notedebasdepage">
    <w:name w:val="footnote text"/>
    <w:basedOn w:val="Normal"/>
    <w:link w:val="NotedebasdepageCar"/>
    <w:autoRedefine/>
    <w:semiHidden/>
    <w:rsid w:val="0030125B"/>
    <w:rPr>
      <w:rFonts w:eastAsia="Times New Roman" w:cs="Times New Roman"/>
      <w:sz w:val="20"/>
      <w:lang w:eastAsia="fr-FR"/>
    </w:rPr>
  </w:style>
  <w:style w:type="character" w:customStyle="1" w:styleId="NotedebasdepageCar">
    <w:name w:val="Note de bas de page Car"/>
    <w:basedOn w:val="Policepardfaut"/>
    <w:link w:val="Notedebasdepage"/>
    <w:semiHidden/>
    <w:rsid w:val="0030125B"/>
    <w:rPr>
      <w:rFonts w:ascii="Times New Roman" w:eastAsia="Times New Roman" w:hAnsi="Times New Roman" w:cs="Times New Roman"/>
      <w:sz w:val="20"/>
      <w:lang w:eastAsia="fr-FR"/>
    </w:rPr>
  </w:style>
  <w:style w:type="character" w:customStyle="1" w:styleId="Marquenotebasde">
    <w:name w:val="Marque note bas de"/>
    <w:basedOn w:val="Policepardfaut"/>
    <w:rsid w:val="0030125B"/>
    <w:rPr>
      <w:rFonts w:ascii="Times New Roman" w:hAnsi="Times New Roman" w:cs="Times New Roman"/>
      <w:vertAlign w:val="superscript"/>
    </w:rPr>
  </w:style>
  <w:style w:type="paragraph" w:styleId="Citation">
    <w:name w:val="Quote"/>
    <w:basedOn w:val="Normal"/>
    <w:link w:val="CitationCar"/>
    <w:autoRedefine/>
    <w:rsid w:val="005E1738"/>
    <w:pPr>
      <w:spacing w:before="120" w:after="120"/>
      <w:ind w:left="720" w:hanging="11"/>
    </w:pPr>
    <w:rPr>
      <w:rFonts w:eastAsia="Times New Roman" w:cs="Times New Roman"/>
      <w:sz w:val="20"/>
      <w:szCs w:val="22"/>
      <w:lang w:eastAsia="fr-FR"/>
    </w:rPr>
  </w:style>
  <w:style w:type="character" w:customStyle="1" w:styleId="CitationCar">
    <w:name w:val="Citation Car"/>
    <w:basedOn w:val="Policepardfaut"/>
    <w:link w:val="Citation"/>
    <w:rsid w:val="005E1738"/>
    <w:rPr>
      <w:rFonts w:ascii="Times New Roman" w:eastAsia="Times New Roman" w:hAnsi="Times New Roman" w:cs="Times New Roman"/>
      <w:sz w:val="20"/>
      <w:szCs w:val="22"/>
      <w:lang w:eastAsia="fr-FR"/>
    </w:rPr>
  </w:style>
</w:styles>
</file>

<file path=word/webSettings.xml><?xml version="1.0" encoding="utf-8"?>
<w:webSettings xmlns:r="http://schemas.openxmlformats.org/officeDocument/2006/relationships" xmlns:w="http://schemas.openxmlformats.org/wordprocessingml/2006/main">
  <w:divs>
    <w:div w:id="127167594">
      <w:bodyDiv w:val="1"/>
      <w:marLeft w:val="0"/>
      <w:marRight w:val="0"/>
      <w:marTop w:val="0"/>
      <w:marBottom w:val="0"/>
      <w:divBdr>
        <w:top w:val="none" w:sz="0" w:space="0" w:color="auto"/>
        <w:left w:val="none" w:sz="0" w:space="0" w:color="auto"/>
        <w:bottom w:val="none" w:sz="0" w:space="0" w:color="auto"/>
        <w:right w:val="none" w:sz="0" w:space="0" w:color="auto"/>
      </w:divBdr>
      <w:divsChild>
        <w:div w:id="328949611">
          <w:marLeft w:val="0"/>
          <w:marRight w:val="0"/>
          <w:marTop w:val="0"/>
          <w:marBottom w:val="0"/>
          <w:divBdr>
            <w:top w:val="none" w:sz="0" w:space="0" w:color="auto"/>
            <w:left w:val="none" w:sz="0" w:space="0" w:color="auto"/>
            <w:bottom w:val="none" w:sz="0" w:space="0" w:color="auto"/>
            <w:right w:val="none" w:sz="0" w:space="0" w:color="auto"/>
          </w:divBdr>
          <w:divsChild>
            <w:div w:id="149758369">
              <w:marLeft w:val="0"/>
              <w:marRight w:val="0"/>
              <w:marTop w:val="0"/>
              <w:marBottom w:val="0"/>
              <w:divBdr>
                <w:top w:val="none" w:sz="0" w:space="0" w:color="auto"/>
                <w:left w:val="none" w:sz="0" w:space="0" w:color="auto"/>
                <w:bottom w:val="none" w:sz="0" w:space="0" w:color="auto"/>
                <w:right w:val="none" w:sz="0" w:space="0" w:color="auto"/>
              </w:divBdr>
              <w:divsChild>
                <w:div w:id="650329740">
                  <w:marLeft w:val="0"/>
                  <w:marRight w:val="0"/>
                  <w:marTop w:val="0"/>
                  <w:marBottom w:val="0"/>
                  <w:divBdr>
                    <w:top w:val="none" w:sz="0" w:space="0" w:color="auto"/>
                    <w:left w:val="none" w:sz="0" w:space="0" w:color="auto"/>
                    <w:bottom w:val="none" w:sz="0" w:space="0" w:color="auto"/>
                    <w:right w:val="none" w:sz="0" w:space="0" w:color="auto"/>
                  </w:divBdr>
                </w:div>
              </w:divsChild>
            </w:div>
            <w:div w:id="439031396">
              <w:marLeft w:val="0"/>
              <w:marRight w:val="0"/>
              <w:marTop w:val="0"/>
              <w:marBottom w:val="0"/>
              <w:divBdr>
                <w:top w:val="none" w:sz="0" w:space="0" w:color="auto"/>
                <w:left w:val="none" w:sz="0" w:space="0" w:color="auto"/>
                <w:bottom w:val="none" w:sz="0" w:space="0" w:color="auto"/>
                <w:right w:val="none" w:sz="0" w:space="0" w:color="auto"/>
              </w:divBdr>
              <w:divsChild>
                <w:div w:id="9541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33430">
          <w:marLeft w:val="0"/>
          <w:marRight w:val="0"/>
          <w:marTop w:val="0"/>
          <w:marBottom w:val="0"/>
          <w:divBdr>
            <w:top w:val="none" w:sz="0" w:space="0" w:color="auto"/>
            <w:left w:val="none" w:sz="0" w:space="0" w:color="auto"/>
            <w:bottom w:val="none" w:sz="0" w:space="0" w:color="auto"/>
            <w:right w:val="none" w:sz="0" w:space="0" w:color="auto"/>
          </w:divBdr>
          <w:divsChild>
            <w:div w:id="1078358846">
              <w:marLeft w:val="0"/>
              <w:marRight w:val="0"/>
              <w:marTop w:val="0"/>
              <w:marBottom w:val="0"/>
              <w:divBdr>
                <w:top w:val="none" w:sz="0" w:space="0" w:color="auto"/>
                <w:left w:val="none" w:sz="0" w:space="0" w:color="auto"/>
                <w:bottom w:val="none" w:sz="0" w:space="0" w:color="auto"/>
                <w:right w:val="none" w:sz="0" w:space="0" w:color="auto"/>
              </w:divBdr>
              <w:divsChild>
                <w:div w:id="500120341">
                  <w:marLeft w:val="0"/>
                  <w:marRight w:val="0"/>
                  <w:marTop w:val="0"/>
                  <w:marBottom w:val="0"/>
                  <w:divBdr>
                    <w:top w:val="none" w:sz="0" w:space="0" w:color="auto"/>
                    <w:left w:val="none" w:sz="0" w:space="0" w:color="auto"/>
                    <w:bottom w:val="none" w:sz="0" w:space="0" w:color="auto"/>
                    <w:right w:val="none" w:sz="0" w:space="0" w:color="auto"/>
                  </w:divBdr>
                </w:div>
              </w:divsChild>
            </w:div>
            <w:div w:id="732506825">
              <w:marLeft w:val="0"/>
              <w:marRight w:val="0"/>
              <w:marTop w:val="0"/>
              <w:marBottom w:val="0"/>
              <w:divBdr>
                <w:top w:val="none" w:sz="0" w:space="0" w:color="auto"/>
                <w:left w:val="none" w:sz="0" w:space="0" w:color="auto"/>
                <w:bottom w:val="none" w:sz="0" w:space="0" w:color="auto"/>
                <w:right w:val="none" w:sz="0" w:space="0" w:color="auto"/>
              </w:divBdr>
              <w:divsChild>
                <w:div w:id="7515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7392">
      <w:bodyDiv w:val="1"/>
      <w:marLeft w:val="0"/>
      <w:marRight w:val="0"/>
      <w:marTop w:val="0"/>
      <w:marBottom w:val="0"/>
      <w:divBdr>
        <w:top w:val="none" w:sz="0" w:space="0" w:color="auto"/>
        <w:left w:val="none" w:sz="0" w:space="0" w:color="auto"/>
        <w:bottom w:val="none" w:sz="0" w:space="0" w:color="auto"/>
        <w:right w:val="none" w:sz="0" w:space="0" w:color="auto"/>
      </w:divBdr>
      <w:divsChild>
        <w:div w:id="1238858931">
          <w:marLeft w:val="0"/>
          <w:marRight w:val="0"/>
          <w:marTop w:val="0"/>
          <w:marBottom w:val="0"/>
          <w:divBdr>
            <w:top w:val="none" w:sz="0" w:space="0" w:color="auto"/>
            <w:left w:val="none" w:sz="0" w:space="0" w:color="auto"/>
            <w:bottom w:val="none" w:sz="0" w:space="0" w:color="auto"/>
            <w:right w:val="none" w:sz="0" w:space="0" w:color="auto"/>
          </w:divBdr>
          <w:divsChild>
            <w:div w:id="883564151">
              <w:marLeft w:val="0"/>
              <w:marRight w:val="0"/>
              <w:marTop w:val="0"/>
              <w:marBottom w:val="0"/>
              <w:divBdr>
                <w:top w:val="none" w:sz="0" w:space="0" w:color="auto"/>
                <w:left w:val="none" w:sz="0" w:space="0" w:color="auto"/>
                <w:bottom w:val="none" w:sz="0" w:space="0" w:color="auto"/>
                <w:right w:val="none" w:sz="0" w:space="0" w:color="auto"/>
              </w:divBdr>
              <w:divsChild>
                <w:div w:id="114254673">
                  <w:marLeft w:val="0"/>
                  <w:marRight w:val="0"/>
                  <w:marTop w:val="0"/>
                  <w:marBottom w:val="0"/>
                  <w:divBdr>
                    <w:top w:val="none" w:sz="0" w:space="0" w:color="auto"/>
                    <w:left w:val="none" w:sz="0" w:space="0" w:color="auto"/>
                    <w:bottom w:val="none" w:sz="0" w:space="0" w:color="auto"/>
                    <w:right w:val="none" w:sz="0" w:space="0" w:color="auto"/>
                  </w:divBdr>
                  <w:divsChild>
                    <w:div w:id="19176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427</Words>
  <Characters>2439</Characters>
  <Application>Microsoft Macintosh Word</Application>
  <DocSecurity>0</DocSecurity>
  <Lines>20</Lines>
  <Paragraphs>4</Paragraphs>
  <ScaleCrop>false</ScaleCrop>
  <Company>Université de Nantes</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Patrick Olivier</dc:creator>
  <cp:keywords/>
  <cp:lastModifiedBy>Alain Patrick Olivier</cp:lastModifiedBy>
  <cp:revision>36</cp:revision>
  <dcterms:created xsi:type="dcterms:W3CDTF">2015-11-23T22:25:00Z</dcterms:created>
  <dcterms:modified xsi:type="dcterms:W3CDTF">2015-11-23T22:44:00Z</dcterms:modified>
</cp:coreProperties>
</file>